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F90" w:rsidRDefault="00443F90" w:rsidP="00443F90">
      <w:pPr>
        <w:adjustRightInd w:val="0"/>
        <w:snapToGrid w:val="0"/>
        <w:spacing w:line="400" w:lineRule="exact"/>
        <w:jc w:val="center"/>
        <w:rPr>
          <w:rFonts w:ascii="Arial" w:hAnsi="Arial"/>
          <w:b/>
          <w:noProof/>
          <w:snapToGrid w:val="0"/>
          <w:kern w:val="0"/>
        </w:rPr>
      </w:pPr>
      <w:r>
        <w:rPr>
          <w:rFonts w:ascii="Arial" w:hAnsi="Arial" w:hint="eastAsia"/>
          <w:b/>
          <w:snapToGrid w:val="0"/>
          <w:kern w:val="0"/>
          <w:sz w:val="32"/>
        </w:rPr>
        <w:t>《幼儿园活动设计实践》</w:t>
      </w:r>
      <w:r w:rsidR="004D3EE6">
        <w:rPr>
          <w:rFonts w:ascii="Arial" w:hAnsi="Arial" w:hint="eastAsia"/>
          <w:b/>
          <w:snapToGrid w:val="0"/>
          <w:kern w:val="0"/>
          <w:sz w:val="32"/>
        </w:rPr>
        <w:t>参考答案</w:t>
      </w:r>
    </w:p>
    <w:p w:rsidR="001F1171" w:rsidRPr="000C51A2" w:rsidRDefault="001F1171" w:rsidP="001F1171">
      <w:pPr>
        <w:adjustRightInd w:val="0"/>
        <w:snapToGrid w:val="0"/>
        <w:rPr>
          <w:rFonts w:ascii="宋体" w:hAnsi="宋体"/>
          <w:b/>
          <w:snapToGrid w:val="0"/>
          <w:kern w:val="0"/>
          <w:szCs w:val="21"/>
        </w:rPr>
      </w:pPr>
      <w:r>
        <w:rPr>
          <w:rFonts w:ascii="宋体" w:hAnsi="宋体" w:hint="eastAsia"/>
          <w:b/>
          <w:snapToGrid w:val="0"/>
          <w:kern w:val="0"/>
          <w:szCs w:val="21"/>
        </w:rPr>
        <w:t>一</w:t>
      </w:r>
      <w:r w:rsidRPr="000C51A2">
        <w:rPr>
          <w:rFonts w:ascii="宋体" w:hAnsi="宋体" w:hint="eastAsia"/>
          <w:b/>
          <w:snapToGrid w:val="0"/>
          <w:kern w:val="0"/>
          <w:szCs w:val="21"/>
        </w:rPr>
        <w:t>、论述题（</w:t>
      </w:r>
      <w:r>
        <w:rPr>
          <w:rFonts w:ascii="宋体" w:hAnsi="宋体" w:hint="eastAsia"/>
          <w:b/>
          <w:snapToGrid w:val="0"/>
          <w:kern w:val="0"/>
          <w:szCs w:val="21"/>
        </w:rPr>
        <w:t>60</w:t>
      </w:r>
      <w:r w:rsidRPr="000C51A2">
        <w:rPr>
          <w:rFonts w:ascii="宋体" w:hAnsi="宋体" w:hint="eastAsia"/>
          <w:b/>
          <w:snapToGrid w:val="0"/>
          <w:kern w:val="0"/>
          <w:szCs w:val="21"/>
        </w:rPr>
        <w:t>分）</w:t>
      </w:r>
    </w:p>
    <w:p w:rsidR="001F1171" w:rsidRPr="001F1171" w:rsidRDefault="001F1171" w:rsidP="001F1171">
      <w:pPr>
        <w:adjustRightInd w:val="0"/>
        <w:snapToGrid w:val="0"/>
        <w:rPr>
          <w:rFonts w:ascii="宋体" w:hAnsi="宋体"/>
          <w:b/>
          <w:snapToGrid w:val="0"/>
          <w:kern w:val="0"/>
          <w:szCs w:val="21"/>
        </w:rPr>
      </w:pPr>
      <w:r w:rsidRPr="001F1171">
        <w:rPr>
          <w:rFonts w:ascii="宋体" w:hAnsi="宋体" w:hint="eastAsia"/>
          <w:b/>
          <w:snapToGrid w:val="0"/>
          <w:kern w:val="0"/>
          <w:szCs w:val="21"/>
        </w:rPr>
        <w:t>1．论述主题教学活动的特征、教育价值和局限性。</w:t>
      </w:r>
      <w:r>
        <w:rPr>
          <w:rFonts w:ascii="宋体" w:hAnsi="宋体" w:hint="eastAsia"/>
          <w:b/>
          <w:snapToGrid w:val="0"/>
          <w:kern w:val="0"/>
          <w:szCs w:val="21"/>
        </w:rPr>
        <w:t>（300字以上）</w:t>
      </w:r>
    </w:p>
    <w:p w:rsidR="001F1171" w:rsidRDefault="001F1171" w:rsidP="001F1171">
      <w:pPr>
        <w:adjustRightInd w:val="0"/>
        <w:snapToGrid w:val="0"/>
        <w:rPr>
          <w:rFonts w:ascii="宋体" w:hAnsi="宋体"/>
          <w:snapToGrid w:val="0"/>
          <w:kern w:val="0"/>
          <w:szCs w:val="21"/>
        </w:rPr>
      </w:pPr>
      <w:r w:rsidRPr="001F1171">
        <w:rPr>
          <w:rFonts w:ascii="宋体" w:hAnsi="宋体" w:hint="eastAsia"/>
          <w:snapToGrid w:val="0"/>
          <w:color w:val="FF0000"/>
          <w:kern w:val="0"/>
          <w:szCs w:val="21"/>
        </w:rPr>
        <w:t>答</w:t>
      </w:r>
      <w:r>
        <w:rPr>
          <w:rFonts w:ascii="宋体" w:hAnsi="宋体" w:hint="eastAsia"/>
          <w:snapToGrid w:val="0"/>
          <w:kern w:val="0"/>
          <w:szCs w:val="21"/>
        </w:rPr>
        <w:t>：</w:t>
      </w:r>
    </w:p>
    <w:p w:rsidR="001F1171" w:rsidRPr="001F1171" w:rsidRDefault="001F1171" w:rsidP="001F1171">
      <w:pPr>
        <w:rPr>
          <w:rFonts w:ascii="宋体" w:hAnsi="宋体"/>
          <w:snapToGrid w:val="0"/>
          <w:kern w:val="0"/>
          <w:szCs w:val="21"/>
        </w:rPr>
      </w:pPr>
      <w:r w:rsidRPr="001F1171">
        <w:rPr>
          <w:rFonts w:ascii="宋体" w:hAnsi="宋体" w:hint="eastAsia"/>
          <w:snapToGrid w:val="0"/>
          <w:kern w:val="0"/>
          <w:szCs w:val="21"/>
        </w:rPr>
        <w:t>答：赫尔姆和凯兹将主题教学活动的特征概括为“教师教学，决定内容，或儿童根据较广专题的学习经验发起活动”。</w:t>
      </w:r>
    </w:p>
    <w:p w:rsidR="001F1171" w:rsidRPr="001F1171" w:rsidRDefault="001F1171" w:rsidP="001F1171">
      <w:pPr>
        <w:rPr>
          <w:rFonts w:ascii="宋体" w:hAnsi="宋体"/>
          <w:snapToGrid w:val="0"/>
          <w:kern w:val="0"/>
          <w:szCs w:val="21"/>
        </w:rPr>
      </w:pPr>
      <w:r w:rsidRPr="001F1171">
        <w:rPr>
          <w:rFonts w:ascii="宋体" w:hAnsi="宋体" w:hint="eastAsia"/>
          <w:snapToGrid w:val="0"/>
          <w:kern w:val="0"/>
          <w:szCs w:val="21"/>
        </w:rPr>
        <w:t>教育价值：主题教学活动既有一定的预设取向，又有一定的生成取向，主题教学活动的性质决定了这类教育活动既能反映幼儿教育的一些基本要求，给幼儿一些必需的知识和技能的学习，也能够在一定程度上顾及幼儿的偿趣和需要，激励幼儿在活动的过程中根据自己的经验和需要生成教育活动。</w:t>
      </w:r>
    </w:p>
    <w:p w:rsidR="001F1171" w:rsidRPr="001F1171" w:rsidRDefault="001F1171" w:rsidP="001F1171">
      <w:pPr>
        <w:rPr>
          <w:rFonts w:ascii="宋体" w:hAnsi="宋体"/>
          <w:snapToGrid w:val="0"/>
          <w:kern w:val="0"/>
          <w:szCs w:val="21"/>
        </w:rPr>
      </w:pPr>
      <w:r w:rsidRPr="001F1171">
        <w:rPr>
          <w:rFonts w:ascii="宋体" w:hAnsi="宋体" w:hint="eastAsia"/>
          <w:snapToGrid w:val="0"/>
          <w:kern w:val="0"/>
          <w:szCs w:val="21"/>
        </w:rPr>
        <w:t>局限性：主题教学活动会使教育活动的不确定性和可变性增加，使教育活动的可操作性降低；这类教育活动对教师的要求较高。</w:t>
      </w:r>
    </w:p>
    <w:p w:rsidR="001F1171" w:rsidRPr="001F1171" w:rsidRDefault="001F1171" w:rsidP="001F1171">
      <w:pPr>
        <w:adjustRightInd w:val="0"/>
        <w:snapToGrid w:val="0"/>
        <w:rPr>
          <w:rFonts w:ascii="宋体" w:hAnsi="宋体"/>
          <w:snapToGrid w:val="0"/>
          <w:kern w:val="0"/>
          <w:szCs w:val="21"/>
        </w:rPr>
      </w:pPr>
    </w:p>
    <w:p w:rsidR="001F1171" w:rsidRPr="000C51A2"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b/>
          <w:snapToGrid w:val="0"/>
          <w:kern w:val="0"/>
          <w:szCs w:val="21"/>
        </w:rPr>
      </w:pPr>
      <w:r w:rsidRPr="001F1171">
        <w:rPr>
          <w:rFonts w:ascii="宋体" w:hAnsi="宋体" w:hint="eastAsia"/>
          <w:b/>
          <w:snapToGrid w:val="0"/>
          <w:kern w:val="0"/>
          <w:szCs w:val="21"/>
        </w:rPr>
        <w:t>2．论述相互渗透或整合地选择和组合幼儿园各科目教育活动的基本原则。</w:t>
      </w:r>
      <w:r>
        <w:rPr>
          <w:rFonts w:ascii="宋体" w:hAnsi="宋体" w:hint="eastAsia"/>
          <w:b/>
          <w:snapToGrid w:val="0"/>
          <w:kern w:val="0"/>
          <w:szCs w:val="21"/>
        </w:rPr>
        <w:t>（300字以上）</w:t>
      </w:r>
    </w:p>
    <w:p w:rsidR="001F1171" w:rsidRDefault="001F1171" w:rsidP="001F1171">
      <w:pPr>
        <w:adjustRightInd w:val="0"/>
        <w:snapToGrid w:val="0"/>
        <w:rPr>
          <w:rFonts w:ascii="宋体" w:hAnsi="宋体"/>
          <w:snapToGrid w:val="0"/>
          <w:kern w:val="0"/>
          <w:szCs w:val="21"/>
        </w:rPr>
      </w:pPr>
      <w:r w:rsidRPr="001F1171">
        <w:rPr>
          <w:rFonts w:ascii="宋体" w:hAnsi="宋体" w:hint="eastAsia"/>
          <w:snapToGrid w:val="0"/>
          <w:color w:val="FF0000"/>
          <w:kern w:val="0"/>
          <w:szCs w:val="21"/>
        </w:rPr>
        <w:t>答</w:t>
      </w:r>
      <w:r>
        <w:rPr>
          <w:rFonts w:ascii="宋体" w:hAnsi="宋体" w:hint="eastAsia"/>
          <w:snapToGrid w:val="0"/>
          <w:kern w:val="0"/>
          <w:szCs w:val="21"/>
        </w:rPr>
        <w:t>：</w:t>
      </w:r>
    </w:p>
    <w:p w:rsidR="001F1171" w:rsidRPr="001F1171" w:rsidRDefault="001F1171" w:rsidP="001F1171">
      <w:pPr>
        <w:rPr>
          <w:rFonts w:ascii="宋体" w:hAnsi="宋体"/>
          <w:snapToGrid w:val="0"/>
          <w:kern w:val="0"/>
          <w:szCs w:val="21"/>
        </w:rPr>
      </w:pPr>
      <w:r w:rsidRPr="001F1171">
        <w:rPr>
          <w:rFonts w:ascii="宋体" w:hAnsi="宋体" w:hint="eastAsia"/>
          <w:snapToGrid w:val="0"/>
          <w:kern w:val="0"/>
          <w:szCs w:val="21"/>
        </w:rPr>
        <w:t>（1）要充分理解各学科科目之间的共同之处和差异。（2）能充分理解“综合”能够实现的价值和所起的作用。（3）能充分理解渗透或整合常会导致每个学科科目独特性的淡化。（4）能充分认识到渗透或整合常会导致一些学科教育活动时间减少。</w:t>
      </w:r>
    </w:p>
    <w:p w:rsidR="001F1171" w:rsidRPr="001F1171" w:rsidRDefault="001F1171" w:rsidP="001F1171">
      <w:pPr>
        <w:rPr>
          <w:rFonts w:ascii="宋体" w:hAnsi="宋体"/>
          <w:snapToGrid w:val="0"/>
          <w:kern w:val="0"/>
          <w:szCs w:val="21"/>
        </w:rPr>
      </w:pPr>
      <w:r w:rsidRPr="001F1171">
        <w:rPr>
          <w:rFonts w:ascii="宋体" w:hAnsi="宋体" w:hint="eastAsia"/>
          <w:snapToGrid w:val="0"/>
          <w:kern w:val="0"/>
          <w:szCs w:val="21"/>
        </w:rPr>
        <w:t>五、案例分析</w:t>
      </w:r>
    </w:p>
    <w:p w:rsidR="001F1171" w:rsidRPr="001F1171" w:rsidRDefault="001F1171" w:rsidP="00C51DAB">
      <w:pPr>
        <w:rPr>
          <w:rFonts w:ascii="宋体" w:hAnsi="宋体"/>
          <w:snapToGrid w:val="0"/>
          <w:kern w:val="0"/>
          <w:szCs w:val="21"/>
        </w:rPr>
      </w:pPr>
      <w:r w:rsidRPr="001F1171">
        <w:rPr>
          <w:rFonts w:ascii="宋体" w:hAnsi="宋体" w:hint="eastAsia"/>
          <w:snapToGrid w:val="0"/>
          <w:kern w:val="0"/>
          <w:szCs w:val="21"/>
        </w:rPr>
        <w:t>20．答案：这个教育活动表现出明显的“单一科目”倾向。在这个教育活动中。三条活动目标是最为重要的，活动的内容根据活动目标而选择和组织，活动的过程等都围绕活动目标而进行。这类教育活动的价值就在于预设的教育活动目标所确定的知识和技能，要求幼儿通过活动获取这些知识和技能。这个教育活动十分明显地体现了了教师为中心展开教育活动的基本特征，并不在意幼儿自己的探究和发现，也不在意幼儿能否提出不同的意见和想法，因此在活动中教师主要是教学者、指导者和控制者，幼儿没有动手参与活动，但目标是达成的。</w:t>
      </w: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b/>
          <w:snapToGrid w:val="0"/>
          <w:kern w:val="0"/>
          <w:szCs w:val="21"/>
        </w:rPr>
      </w:pPr>
    </w:p>
    <w:p w:rsidR="001F1171" w:rsidRPr="001F1171" w:rsidRDefault="001F1171" w:rsidP="001F1171">
      <w:pPr>
        <w:adjustRightInd w:val="0"/>
        <w:snapToGrid w:val="0"/>
        <w:rPr>
          <w:rFonts w:ascii="宋体" w:hAnsi="宋体"/>
          <w:b/>
          <w:snapToGrid w:val="0"/>
          <w:kern w:val="0"/>
          <w:szCs w:val="21"/>
        </w:rPr>
      </w:pPr>
      <w:r w:rsidRPr="001F1171">
        <w:rPr>
          <w:rFonts w:ascii="宋体" w:hAnsi="宋体" w:hint="eastAsia"/>
          <w:b/>
          <w:snapToGrid w:val="0"/>
          <w:kern w:val="0"/>
          <w:szCs w:val="21"/>
        </w:rPr>
        <w:t>4．论述凯米和德弗里斯早期教育方案中关于集体游戏的观点。</w:t>
      </w:r>
      <w:r>
        <w:rPr>
          <w:rFonts w:ascii="宋体" w:hAnsi="宋体" w:hint="eastAsia"/>
          <w:b/>
          <w:snapToGrid w:val="0"/>
          <w:kern w:val="0"/>
          <w:szCs w:val="21"/>
        </w:rPr>
        <w:t>（300字以上）</w:t>
      </w:r>
    </w:p>
    <w:p w:rsidR="001F1171" w:rsidRPr="001F1171" w:rsidRDefault="001F1171" w:rsidP="001F1171">
      <w:pPr>
        <w:rPr>
          <w:rFonts w:ascii="宋体" w:hAnsi="宋体"/>
          <w:snapToGrid w:val="0"/>
          <w:kern w:val="0"/>
          <w:szCs w:val="21"/>
        </w:rPr>
      </w:pPr>
      <w:r w:rsidRPr="001F1171">
        <w:rPr>
          <w:rFonts w:ascii="宋体" w:hAnsi="宋体" w:hint="eastAsia"/>
          <w:snapToGrid w:val="0"/>
          <w:color w:val="FF0000"/>
          <w:kern w:val="0"/>
          <w:szCs w:val="21"/>
        </w:rPr>
        <w:t>答</w:t>
      </w:r>
      <w:r>
        <w:rPr>
          <w:rFonts w:ascii="宋体" w:hAnsi="宋体" w:hint="eastAsia"/>
          <w:snapToGrid w:val="0"/>
          <w:kern w:val="0"/>
          <w:szCs w:val="21"/>
        </w:rPr>
        <w:t>：</w:t>
      </w:r>
      <w:r w:rsidRPr="001F1171">
        <w:rPr>
          <w:rFonts w:ascii="宋体" w:hAnsi="宋体" w:hint="eastAsia"/>
          <w:snapToGrid w:val="0"/>
          <w:kern w:val="0"/>
          <w:szCs w:val="21"/>
        </w:rPr>
        <w:t>凯米和德弗里斯认为集体游戏指的是“儿童根据约定的规则而一起进行的游戏，游戏者应承担独立的、对抗的和合作的角色”。他们认为集体游戏对幼儿有特殊的功能。集体游戏主要培养的是5岁儿童的认知和社会能力，他们应在5岁以前就得到培养，并在此年龄以后得到进一步培养。在集体游戏中，只有游戏的参与者都赞同游戏的规则，游戏才能开始。一旦游戏开始后，游戏的参与者必须要在解释游戏的规则方面取得一致的意见，游戏方能继续下去。凯米和德弗里斯把集体游戏分成以下8类：瞄准目标游戏、赛跑游戏、捉迷藏游戏、猜迷语游戏、口令游戏、纸牌游戏和棋子游戏。这8类游戏集体游戏可大致分成两种类型，平行角色游戏和互补角色游戏。凯米和德弗里斯认为，不是所有的集体游戏都具有教育价值，一个好的集体游戏的标准是能为儿童提供一些有趣的和有挑战性的事物，让儿童思考如何游戏，能允许儿童对自己的成功做出判断，能让所有儿童的儿童在游戏中积极参与。对于集体游戏凯米和德弗里斯提出了两条教学原则：第一条原则是调整集体游戏，使它能与幼儿的思维方式相符合；第二条是尽可能减少成人的权威性，鼓励儿童相互间的合作。</w:t>
      </w:r>
    </w:p>
    <w:p w:rsidR="001F1171" w:rsidRDefault="001F1171" w:rsidP="001F1171">
      <w:pPr>
        <w:adjustRightInd w:val="0"/>
        <w:snapToGrid w:val="0"/>
        <w:rPr>
          <w:rFonts w:ascii="宋体" w:hAnsi="宋体"/>
          <w:b/>
          <w:snapToGrid w:val="0"/>
          <w:kern w:val="0"/>
          <w:szCs w:val="21"/>
        </w:rPr>
      </w:pPr>
    </w:p>
    <w:p w:rsidR="00C51DAB" w:rsidRDefault="00C51DAB" w:rsidP="001F1171">
      <w:pPr>
        <w:adjustRightInd w:val="0"/>
        <w:snapToGrid w:val="0"/>
        <w:rPr>
          <w:rFonts w:ascii="宋体" w:hAnsi="宋体"/>
          <w:b/>
          <w:snapToGrid w:val="0"/>
          <w:kern w:val="0"/>
          <w:szCs w:val="21"/>
        </w:rPr>
      </w:pPr>
    </w:p>
    <w:p w:rsidR="001F1171" w:rsidRPr="000C51A2" w:rsidRDefault="001F1171" w:rsidP="001F1171">
      <w:pPr>
        <w:adjustRightInd w:val="0"/>
        <w:snapToGrid w:val="0"/>
        <w:rPr>
          <w:rFonts w:ascii="宋体" w:hAnsi="宋体"/>
          <w:b/>
          <w:snapToGrid w:val="0"/>
          <w:kern w:val="0"/>
          <w:szCs w:val="21"/>
        </w:rPr>
      </w:pPr>
      <w:r>
        <w:rPr>
          <w:rFonts w:ascii="宋体" w:hAnsi="宋体" w:hint="eastAsia"/>
          <w:b/>
          <w:snapToGrid w:val="0"/>
          <w:kern w:val="0"/>
          <w:szCs w:val="21"/>
        </w:rPr>
        <w:t>二</w:t>
      </w:r>
      <w:r w:rsidRPr="000C51A2">
        <w:rPr>
          <w:rFonts w:ascii="宋体" w:hAnsi="宋体" w:hint="eastAsia"/>
          <w:b/>
          <w:snapToGrid w:val="0"/>
          <w:kern w:val="0"/>
          <w:szCs w:val="21"/>
        </w:rPr>
        <w:t>、案例分析（科目类型、特点、价值和局限性）（</w:t>
      </w:r>
      <w:r>
        <w:rPr>
          <w:rFonts w:ascii="宋体" w:hAnsi="宋体" w:hint="eastAsia"/>
          <w:b/>
          <w:snapToGrid w:val="0"/>
          <w:kern w:val="0"/>
          <w:szCs w:val="21"/>
        </w:rPr>
        <w:t>40</w:t>
      </w:r>
      <w:r w:rsidRPr="000C51A2">
        <w:rPr>
          <w:rFonts w:ascii="宋体" w:hAnsi="宋体" w:hint="eastAsia"/>
          <w:b/>
          <w:snapToGrid w:val="0"/>
          <w:kern w:val="0"/>
          <w:szCs w:val="21"/>
        </w:rPr>
        <w:t xml:space="preserve">分） </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20．案例：社会领域教育活动：中国茶（中班）</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活动目标：</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1．知道中国是盛产茶叶的地方。</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2．知道茶是解渴和健身的好饮料。</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3．知道中国茶有许多品种，味道各不相同。</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活动准备：</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挂图“消化器官”，或相关的DVD。</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活动过程：</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lastRenderedPageBreak/>
        <w:t>一、茶叶展览</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1．师生共同收集各种茶叶包装盒和各种茶叶。</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2．将收集的茶叶装入小玻璃瓶或小碟子，并与其包装盒放在一起。教师和幼儿相互介绍自己带来的茶叶，请大家看一看、闻一闻。</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3．布置茶叶展，尝试按照绿茶、红茶、花茶进行分类摆放。</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二、中国茶道</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1．在教室里选择适当的位置布置一个小茶坊。</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2．教师拿出预先准备好的茶道用具，一边给幼儿表演茶道，请幼儿品茶，一边向幼儿介绍中国茶的种类，茶叶的保健作用以及中国茶在世界的地位。</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3．幼儿尝试自己泡茶、品茶，观察茶叶的变化，说说不同茶叶的不同味道、色彩、外观形状。</w:t>
      </w:r>
    </w:p>
    <w:p w:rsidR="001F1171" w:rsidRPr="001F1171" w:rsidRDefault="001F1171">
      <w:pPr>
        <w:rPr>
          <w:rFonts w:ascii="Arial" w:hAnsi="Arial"/>
          <w:snapToGrid w:val="0"/>
          <w:color w:val="FF0000"/>
          <w:kern w:val="0"/>
          <w:szCs w:val="21"/>
        </w:rPr>
      </w:pPr>
    </w:p>
    <w:p w:rsidR="00433BB0" w:rsidRPr="00433BB0" w:rsidRDefault="00433BB0">
      <w:pPr>
        <w:rPr>
          <w:rFonts w:ascii="Arial" w:hAnsi="Arial"/>
          <w:snapToGrid w:val="0"/>
          <w:kern w:val="0"/>
          <w:szCs w:val="21"/>
        </w:rPr>
      </w:pPr>
      <w:r w:rsidRPr="00433BB0">
        <w:rPr>
          <w:rFonts w:ascii="Arial" w:hAnsi="Arial" w:hint="eastAsia"/>
          <w:snapToGrid w:val="0"/>
          <w:color w:val="FF0000"/>
          <w:kern w:val="0"/>
          <w:szCs w:val="21"/>
        </w:rPr>
        <w:t>答</w:t>
      </w:r>
      <w:r w:rsidRPr="00433BB0">
        <w:rPr>
          <w:rFonts w:ascii="Arial" w:hAnsi="Arial" w:hint="eastAsia"/>
          <w:snapToGrid w:val="0"/>
          <w:kern w:val="0"/>
          <w:szCs w:val="21"/>
        </w:rPr>
        <w:t>：</w:t>
      </w:r>
    </w:p>
    <w:sectPr w:rsidR="00433BB0" w:rsidRPr="00433BB0" w:rsidSect="00F32BBA">
      <w:headerReference w:type="default" r:id="rId6"/>
      <w:footerReference w:type="default" r:id="rId7"/>
      <w:pgSz w:w="11907" w:h="16840" w:code="9"/>
      <w:pgMar w:top="851" w:right="851" w:bottom="851" w:left="1418" w:header="851" w:footer="567" w:gutter="0"/>
      <w:cols w:space="827"/>
      <w:docGrid w:type="linesAndChars" w:linePitch="289" w:charSpace="847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7F2" w:rsidRDefault="004F47F2" w:rsidP="00791D67">
      <w:r>
        <w:separator/>
      </w:r>
    </w:p>
  </w:endnote>
  <w:endnote w:type="continuationSeparator" w:id="1">
    <w:p w:rsidR="004F47F2" w:rsidRDefault="004F47F2" w:rsidP="00791D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Look w:val="0000"/>
    </w:tblPr>
    <w:tblGrid>
      <w:gridCol w:w="9513"/>
    </w:tblGrid>
    <w:tr w:rsidR="00242345" w:rsidTr="00F32BBA">
      <w:trPr>
        <w:jc w:val="center"/>
      </w:trPr>
      <w:tc>
        <w:tcPr>
          <w:tcW w:w="9513" w:type="dxa"/>
        </w:tcPr>
        <w:p w:rsidR="00242345" w:rsidRDefault="000F7507" w:rsidP="00433BB0">
          <w:pPr>
            <w:pStyle w:val="a4"/>
            <w:tabs>
              <w:tab w:val="clear" w:pos="4153"/>
              <w:tab w:val="clear" w:pos="8306"/>
            </w:tabs>
            <w:jc w:val="center"/>
            <w:rPr>
              <w:rFonts w:eastAsia="黑体"/>
              <w:b/>
            </w:rPr>
          </w:pPr>
          <w:r>
            <w:rPr>
              <w:rFonts w:ascii="Courier New" w:eastAsia="黑体" w:hAnsi="Courier New" w:hint="eastAsia"/>
              <w:b/>
            </w:rPr>
            <w:t>《</w:t>
          </w:r>
          <w:r w:rsidR="00433BB0">
            <w:rPr>
              <w:rFonts w:hint="eastAsia"/>
            </w:rPr>
            <w:t>小学课程与教学论</w:t>
          </w:r>
          <w:r w:rsidR="00433BB0">
            <w:rPr>
              <w:rFonts w:ascii="Courier New" w:eastAsia="黑体" w:hAnsi="Courier New" w:hint="eastAsia"/>
              <w:b/>
            </w:rPr>
            <w:t>》试题</w:t>
          </w:r>
          <w:r>
            <w:rPr>
              <w:rFonts w:ascii="Courier New" w:eastAsia="黑体" w:hAnsi="Courier New" w:hint="eastAsia"/>
              <w:b/>
            </w:rPr>
            <w:t>第</w:t>
          </w:r>
          <w:r w:rsidR="002B6DC1">
            <w:rPr>
              <w:rFonts w:ascii="Courier New" w:eastAsia="黑体" w:hAnsi="Courier New"/>
              <w:b/>
            </w:rPr>
            <w:fldChar w:fldCharType="begin"/>
          </w:r>
          <w:r>
            <w:rPr>
              <w:rFonts w:ascii="Courier New" w:eastAsia="黑体" w:hAnsi="Courier New"/>
              <w:b/>
            </w:rPr>
            <w:instrText>= 1*</w:instrText>
          </w:r>
          <w:r w:rsidR="002B6DC1">
            <w:rPr>
              <w:rFonts w:ascii="Courier New" w:eastAsia="黑体" w:hAnsi="Courier New"/>
              <w:b/>
            </w:rPr>
            <w:fldChar w:fldCharType="begin"/>
          </w:r>
          <w:r>
            <w:rPr>
              <w:rFonts w:ascii="Courier New" w:eastAsia="黑体" w:hAnsi="Courier New"/>
              <w:b/>
            </w:rPr>
            <w:instrText xml:space="preserve"> Page </w:instrText>
          </w:r>
          <w:r w:rsidR="002B6DC1">
            <w:rPr>
              <w:rFonts w:ascii="Courier New" w:eastAsia="黑体" w:hAnsi="Courier New"/>
              <w:b/>
            </w:rPr>
            <w:fldChar w:fldCharType="separate"/>
          </w:r>
          <w:r w:rsidR="004D3EE6">
            <w:rPr>
              <w:rFonts w:ascii="Courier New" w:eastAsia="黑体" w:hAnsi="Courier New"/>
              <w:b/>
              <w:noProof/>
            </w:rPr>
            <w:instrText>2</w:instrText>
          </w:r>
          <w:r w:rsidR="002B6DC1">
            <w:rPr>
              <w:rFonts w:ascii="Courier New" w:eastAsia="黑体" w:hAnsi="Courier New"/>
              <w:b/>
            </w:rPr>
            <w:fldChar w:fldCharType="end"/>
          </w:r>
          <w:r w:rsidR="002B6DC1">
            <w:rPr>
              <w:rFonts w:ascii="Courier New" w:eastAsia="黑体" w:hAnsi="Courier New"/>
              <w:b/>
            </w:rPr>
            <w:fldChar w:fldCharType="separate"/>
          </w:r>
          <w:r w:rsidR="004D3EE6">
            <w:rPr>
              <w:rFonts w:ascii="Courier New" w:eastAsia="黑体" w:hAnsi="Courier New"/>
              <w:b/>
              <w:noProof/>
            </w:rPr>
            <w:t>2</w:t>
          </w:r>
          <w:r w:rsidR="002B6DC1">
            <w:rPr>
              <w:rFonts w:ascii="Courier New" w:eastAsia="黑体" w:hAnsi="Courier New"/>
              <w:b/>
            </w:rPr>
            <w:fldChar w:fldCharType="end"/>
          </w:r>
          <w:r>
            <w:rPr>
              <w:rFonts w:ascii="Courier New" w:eastAsia="黑体" w:hAnsi="Courier New" w:hint="eastAsia"/>
              <w:b/>
            </w:rPr>
            <w:t>页共</w:t>
          </w:r>
          <w:r w:rsidR="002B6DC1">
            <w:rPr>
              <w:rFonts w:ascii="Courier New" w:eastAsia="黑体" w:hAnsi="Courier New"/>
              <w:b/>
            </w:rPr>
            <w:fldChar w:fldCharType="begin"/>
          </w:r>
          <w:r>
            <w:rPr>
              <w:rFonts w:ascii="Courier New" w:eastAsia="黑体" w:hAnsi="Courier New"/>
              <w:b/>
            </w:rPr>
            <w:instrText xml:space="preserve"> =1*</w:instrText>
          </w:r>
          <w:r w:rsidR="002B6DC1">
            <w:rPr>
              <w:rFonts w:ascii="Courier New" w:eastAsia="黑体" w:hAnsi="Courier New"/>
              <w:b/>
            </w:rPr>
            <w:fldChar w:fldCharType="begin"/>
          </w:r>
          <w:r>
            <w:rPr>
              <w:rFonts w:ascii="Courier New" w:eastAsia="黑体" w:hAnsi="Courier New"/>
              <w:b/>
            </w:rPr>
            <w:instrText xml:space="preserve"> NumPages </w:instrText>
          </w:r>
          <w:r w:rsidR="002B6DC1">
            <w:rPr>
              <w:rFonts w:ascii="Courier New" w:eastAsia="黑体" w:hAnsi="Courier New"/>
              <w:b/>
            </w:rPr>
            <w:fldChar w:fldCharType="separate"/>
          </w:r>
          <w:r w:rsidR="004D3EE6">
            <w:rPr>
              <w:rFonts w:ascii="Courier New" w:eastAsia="黑体" w:hAnsi="Courier New"/>
              <w:b/>
              <w:noProof/>
            </w:rPr>
            <w:instrText>2</w:instrText>
          </w:r>
          <w:r w:rsidR="002B6DC1">
            <w:rPr>
              <w:rFonts w:ascii="Courier New" w:eastAsia="黑体" w:hAnsi="Courier New"/>
              <w:b/>
            </w:rPr>
            <w:fldChar w:fldCharType="end"/>
          </w:r>
          <w:r w:rsidR="002B6DC1">
            <w:rPr>
              <w:rFonts w:ascii="Courier New" w:eastAsia="黑体" w:hAnsi="Courier New"/>
              <w:b/>
            </w:rPr>
            <w:fldChar w:fldCharType="separate"/>
          </w:r>
          <w:r w:rsidR="004D3EE6">
            <w:rPr>
              <w:rFonts w:ascii="Courier New" w:eastAsia="黑体" w:hAnsi="Courier New"/>
              <w:b/>
              <w:noProof/>
            </w:rPr>
            <w:t>2</w:t>
          </w:r>
          <w:r w:rsidR="002B6DC1">
            <w:rPr>
              <w:rFonts w:ascii="Courier New" w:eastAsia="黑体" w:hAnsi="Courier New"/>
              <w:b/>
            </w:rPr>
            <w:fldChar w:fldCharType="end"/>
          </w:r>
          <w:r>
            <w:rPr>
              <w:rFonts w:ascii="Courier New" w:eastAsia="黑体" w:hAnsi="Courier New" w:hint="eastAsia"/>
              <w:b/>
            </w:rPr>
            <w:t>页</w:t>
          </w:r>
        </w:p>
      </w:tc>
    </w:tr>
  </w:tbl>
  <w:p w:rsidR="00242345" w:rsidRDefault="004F47F2">
    <w:pPr>
      <w:pStyle w:val="a4"/>
      <w:tabs>
        <w:tab w:val="clear" w:pos="4153"/>
        <w:tab w:val="clear" w:pos="8306"/>
        <w:tab w:val="right" w:pos="7125"/>
        <w:tab w:val="center" w:pos="11875"/>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7F2" w:rsidRDefault="004F47F2" w:rsidP="00791D67">
      <w:r>
        <w:separator/>
      </w:r>
    </w:p>
  </w:footnote>
  <w:footnote w:type="continuationSeparator" w:id="1">
    <w:p w:rsidR="004F47F2" w:rsidRDefault="004F47F2" w:rsidP="00791D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345" w:rsidRDefault="002B6DC1">
    <w:pPr>
      <w:pStyle w:val="a3"/>
    </w:pPr>
    <w:r>
      <w:rPr>
        <w:noProof/>
      </w:rPr>
      <w:pict>
        <v:shapetype id="_x0000_t202" coordsize="21600,21600" o:spt="202" path="m,l,21600r21600,l21600,xe">
          <v:stroke joinstyle="miter"/>
          <v:path gradientshapeok="t" o:connecttype="rect"/>
        </v:shapetype>
        <v:shape id="_x0000_s2049" type="#_x0000_t202" style="position:absolute;left:0;text-align:left;margin-left:-49.3pt;margin-top:1.25pt;width:39.8pt;height:750.15pt;z-index:251660288" o:allowincell="f" filled="f" stroked="f" strokeweight="1pt">
          <v:textbox style="layout-flow:vertical;mso-layout-flow-alt:bottom-to-top;mso-next-textbox:#_x0000_s2049" inset="0,0,0,0">
            <w:txbxContent>
              <w:p w:rsidR="00242345" w:rsidRDefault="004F47F2"/>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7391"/>
    <w:rsid w:val="000974F9"/>
    <w:rsid w:val="000F7507"/>
    <w:rsid w:val="0010697A"/>
    <w:rsid w:val="00106C10"/>
    <w:rsid w:val="001F1171"/>
    <w:rsid w:val="0023420E"/>
    <w:rsid w:val="002B6DC1"/>
    <w:rsid w:val="00431128"/>
    <w:rsid w:val="00433BB0"/>
    <w:rsid w:val="00443F90"/>
    <w:rsid w:val="004D3EE6"/>
    <w:rsid w:val="004D6AB4"/>
    <w:rsid w:val="004F47F2"/>
    <w:rsid w:val="00512E97"/>
    <w:rsid w:val="005C7A9E"/>
    <w:rsid w:val="006B3C67"/>
    <w:rsid w:val="006C6C17"/>
    <w:rsid w:val="007101C3"/>
    <w:rsid w:val="00791D67"/>
    <w:rsid w:val="007C228F"/>
    <w:rsid w:val="00C51DAB"/>
    <w:rsid w:val="00C57CDB"/>
    <w:rsid w:val="00DC0833"/>
    <w:rsid w:val="00E77391"/>
    <w:rsid w:val="00F36D62"/>
    <w:rsid w:val="00F95E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39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77391"/>
    <w:pPr>
      <w:tabs>
        <w:tab w:val="center" w:pos="4153"/>
        <w:tab w:val="right" w:pos="8306"/>
      </w:tabs>
      <w:snapToGrid w:val="0"/>
      <w:jc w:val="center"/>
    </w:pPr>
    <w:rPr>
      <w:sz w:val="18"/>
    </w:rPr>
  </w:style>
  <w:style w:type="character" w:customStyle="1" w:styleId="Char">
    <w:name w:val="页眉 Char"/>
    <w:basedOn w:val="a0"/>
    <w:link w:val="a3"/>
    <w:uiPriority w:val="99"/>
    <w:rsid w:val="00E77391"/>
    <w:rPr>
      <w:rFonts w:ascii="Times New Roman" w:eastAsia="宋体" w:hAnsi="Times New Roman" w:cs="Times New Roman"/>
      <w:sz w:val="18"/>
      <w:szCs w:val="20"/>
    </w:rPr>
  </w:style>
  <w:style w:type="paragraph" w:styleId="a4">
    <w:name w:val="footer"/>
    <w:basedOn w:val="a"/>
    <w:link w:val="Char0"/>
    <w:uiPriority w:val="99"/>
    <w:rsid w:val="00E77391"/>
    <w:pPr>
      <w:tabs>
        <w:tab w:val="center" w:pos="4153"/>
        <w:tab w:val="right" w:pos="8306"/>
      </w:tabs>
      <w:snapToGrid w:val="0"/>
      <w:jc w:val="left"/>
    </w:pPr>
    <w:rPr>
      <w:sz w:val="18"/>
    </w:rPr>
  </w:style>
  <w:style w:type="character" w:customStyle="1" w:styleId="Char0">
    <w:name w:val="页脚 Char"/>
    <w:basedOn w:val="a0"/>
    <w:link w:val="a4"/>
    <w:uiPriority w:val="99"/>
    <w:rsid w:val="00E77391"/>
    <w:rPr>
      <w:rFonts w:ascii="Times New Roman" w:eastAsia="宋体" w:hAnsi="Times New Roman" w:cs="Times New Roman"/>
      <w:sz w:val="18"/>
      <w:szCs w:val="20"/>
    </w:rPr>
  </w:style>
  <w:style w:type="paragraph" w:styleId="a5">
    <w:name w:val="Plain Text"/>
    <w:basedOn w:val="a"/>
    <w:link w:val="Char1"/>
    <w:uiPriority w:val="99"/>
    <w:rsid w:val="00E77391"/>
    <w:rPr>
      <w:rFonts w:ascii="宋体" w:hAnsi="Courier New" w:cs="Courier New"/>
      <w:szCs w:val="21"/>
    </w:rPr>
  </w:style>
  <w:style w:type="character" w:customStyle="1" w:styleId="Char1">
    <w:name w:val="纯文本 Char"/>
    <w:basedOn w:val="a0"/>
    <w:link w:val="a5"/>
    <w:uiPriority w:val="99"/>
    <w:rsid w:val="00E77391"/>
    <w:rPr>
      <w:rFonts w:ascii="宋体" w:eastAsia="宋体" w:hAnsi="Courier New" w:cs="Courier New"/>
      <w:szCs w:val="21"/>
    </w:rPr>
  </w:style>
  <w:style w:type="table" w:styleId="a6">
    <w:name w:val="Table Grid"/>
    <w:basedOn w:val="a1"/>
    <w:uiPriority w:val="59"/>
    <w:rsid w:val="00E7739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415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243</Words>
  <Characters>1388</Characters>
  <Application>Microsoft Office Word</Application>
  <DocSecurity>0</DocSecurity>
  <Lines>11</Lines>
  <Paragraphs>3</Paragraphs>
  <ScaleCrop>false</ScaleCrop>
  <Company>user</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xhy</cp:lastModifiedBy>
  <cp:revision>11</cp:revision>
  <dcterms:created xsi:type="dcterms:W3CDTF">2020-04-18T06:23:00Z</dcterms:created>
  <dcterms:modified xsi:type="dcterms:W3CDTF">2022-06-23T10:41:00Z</dcterms:modified>
</cp:coreProperties>
</file>