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40" w:rsidRPr="007D395F" w:rsidRDefault="00E87940" w:rsidP="00E87940">
      <w:pPr>
        <w:adjustRightInd w:val="0"/>
        <w:snapToGrid w:val="0"/>
        <w:jc w:val="center"/>
        <w:rPr>
          <w:rFonts w:ascii="宋体" w:hAnsi="宋体"/>
          <w:b/>
          <w:snapToGrid w:val="0"/>
          <w:spacing w:val="40"/>
          <w:kern w:val="0"/>
          <w:sz w:val="32"/>
          <w:szCs w:val="32"/>
        </w:rPr>
      </w:pPr>
      <w:r w:rsidRPr="007D395F">
        <w:rPr>
          <w:rFonts w:ascii="宋体" w:hAnsi="宋体" w:hint="eastAsia"/>
          <w:b/>
          <w:snapToGrid w:val="0"/>
          <w:spacing w:val="40"/>
          <w:kern w:val="0"/>
          <w:sz w:val="32"/>
          <w:szCs w:val="32"/>
        </w:rPr>
        <w:t>嘉兴学院</w:t>
      </w:r>
      <w:r w:rsidR="007D395F" w:rsidRPr="007D395F">
        <w:rPr>
          <w:rFonts w:ascii="宋体" w:hAnsi="宋体" w:hint="eastAsia"/>
          <w:b/>
          <w:snapToGrid w:val="0"/>
          <w:spacing w:val="40"/>
          <w:kern w:val="0"/>
          <w:sz w:val="32"/>
          <w:szCs w:val="32"/>
        </w:rPr>
        <w:t>继续</w:t>
      </w:r>
      <w:r w:rsidRPr="007D395F">
        <w:rPr>
          <w:rFonts w:ascii="宋体" w:hAnsi="宋体" w:hint="eastAsia"/>
          <w:b/>
          <w:snapToGrid w:val="0"/>
          <w:spacing w:val="40"/>
          <w:kern w:val="0"/>
          <w:sz w:val="32"/>
          <w:szCs w:val="32"/>
        </w:rPr>
        <w:t>教育学院</w:t>
      </w:r>
    </w:p>
    <w:p w:rsidR="00E87940" w:rsidRPr="007D395F" w:rsidRDefault="006524C3" w:rsidP="00E87940">
      <w:pPr>
        <w:adjustRightInd w:val="0"/>
        <w:snapToGrid w:val="0"/>
        <w:spacing w:line="480" w:lineRule="exact"/>
        <w:jc w:val="distribute"/>
        <w:rPr>
          <w:rFonts w:asciiTheme="minorEastAsia" w:eastAsiaTheme="minorEastAsia" w:hAnsiTheme="minorEastAsia"/>
          <w:b/>
          <w:snapToGrid w:val="0"/>
          <w:spacing w:val="-20"/>
          <w:kern w:val="0"/>
          <w:sz w:val="30"/>
          <w:szCs w:val="30"/>
        </w:rPr>
      </w:pPr>
      <w:r w:rsidRPr="007D395F">
        <w:rPr>
          <w:rFonts w:asciiTheme="minorEastAsia" w:eastAsiaTheme="minorEastAsia" w:hAnsiTheme="minorEastAsia"/>
          <w:sz w:val="30"/>
          <w:szCs w:val="30"/>
        </w:rPr>
        <w:fldChar w:fldCharType="begin"/>
      </w:r>
      <w:r w:rsidRPr="007D395F">
        <w:rPr>
          <w:rFonts w:asciiTheme="minorEastAsia" w:eastAsiaTheme="minorEastAsia" w:hAnsiTheme="minorEastAsia"/>
          <w:sz w:val="30"/>
          <w:szCs w:val="30"/>
        </w:rPr>
        <w:instrText xml:space="preserve"> FILLIN "请输入专业的名称：" \d "XXXX专业" \* MERGEFORMAT </w:instrText>
      </w:r>
      <w:r w:rsidRPr="007D395F">
        <w:rPr>
          <w:rFonts w:asciiTheme="minorEastAsia" w:eastAsiaTheme="minorEastAsia" w:hAnsiTheme="minorEastAsia"/>
          <w:sz w:val="30"/>
          <w:szCs w:val="30"/>
        </w:rPr>
        <w:fldChar w:fldCharType="separate"/>
      </w:r>
      <w:r w:rsidR="00E87940" w:rsidRPr="007D395F">
        <w:rPr>
          <w:rFonts w:asciiTheme="minorEastAsia" w:eastAsiaTheme="minorEastAsia" w:hAnsiTheme="minorEastAsia" w:hint="eastAsia"/>
          <w:b/>
          <w:snapToGrid w:val="0"/>
          <w:spacing w:val="-20"/>
          <w:kern w:val="0"/>
          <w:sz w:val="30"/>
          <w:szCs w:val="30"/>
        </w:rPr>
        <w:t>药学专业</w:t>
      </w:r>
      <w:r w:rsidRPr="007D395F">
        <w:rPr>
          <w:rFonts w:asciiTheme="minorEastAsia" w:eastAsiaTheme="minorEastAsia" w:hAnsiTheme="minorEastAsia"/>
          <w:b/>
          <w:snapToGrid w:val="0"/>
          <w:spacing w:val="-20"/>
          <w:kern w:val="0"/>
          <w:sz w:val="30"/>
          <w:szCs w:val="30"/>
        </w:rPr>
        <w:fldChar w:fldCharType="end"/>
      </w:r>
      <w:r w:rsidR="00E87940" w:rsidRPr="007D395F">
        <w:rPr>
          <w:rFonts w:asciiTheme="minorEastAsia" w:eastAsiaTheme="minorEastAsia" w:hAnsiTheme="minorEastAsia" w:hint="eastAsia"/>
          <w:b/>
          <w:snapToGrid w:val="0"/>
          <w:spacing w:val="-20"/>
          <w:kern w:val="0"/>
          <w:sz w:val="30"/>
          <w:szCs w:val="30"/>
        </w:rPr>
        <w:t>（专升本）函授班</w:t>
      </w:r>
      <w:r w:rsidR="007D395F">
        <w:rPr>
          <w:rFonts w:asciiTheme="minorEastAsia" w:eastAsiaTheme="minorEastAsia" w:hAnsiTheme="minorEastAsia" w:hint="eastAsia"/>
          <w:b/>
          <w:snapToGrid w:val="0"/>
          <w:spacing w:val="-20"/>
          <w:kern w:val="0"/>
          <w:sz w:val="30"/>
          <w:szCs w:val="30"/>
        </w:rPr>
        <w:t>2022</w:t>
      </w:r>
      <w:r w:rsidR="00E87940" w:rsidRPr="007D395F">
        <w:rPr>
          <w:rFonts w:asciiTheme="minorEastAsia" w:eastAsiaTheme="minorEastAsia" w:hAnsiTheme="minorEastAsia" w:hint="eastAsia"/>
          <w:b/>
          <w:snapToGrid w:val="0"/>
          <w:spacing w:val="-20"/>
          <w:kern w:val="0"/>
          <w:sz w:val="30"/>
          <w:szCs w:val="30"/>
        </w:rPr>
        <w:t>学年第1学期</w:t>
      </w:r>
    </w:p>
    <w:p w:rsidR="00E87940" w:rsidRPr="007D395F" w:rsidRDefault="00E87940" w:rsidP="00E87940">
      <w:pPr>
        <w:adjustRightInd w:val="0"/>
        <w:snapToGrid w:val="0"/>
        <w:spacing w:line="400" w:lineRule="exact"/>
        <w:jc w:val="center"/>
        <w:rPr>
          <w:rFonts w:asciiTheme="minorEastAsia" w:eastAsiaTheme="minorEastAsia" w:hAnsiTheme="minorEastAsia"/>
          <w:b/>
          <w:snapToGrid w:val="0"/>
          <w:kern w:val="0"/>
          <w:sz w:val="30"/>
          <w:szCs w:val="30"/>
        </w:rPr>
      </w:pPr>
      <w:r w:rsidRPr="007D395F">
        <w:rPr>
          <w:rFonts w:asciiTheme="minorEastAsia" w:eastAsiaTheme="minorEastAsia" w:hAnsiTheme="minorEastAsia" w:hint="eastAsia"/>
          <w:b/>
          <w:snapToGrid w:val="0"/>
          <w:kern w:val="0"/>
          <w:sz w:val="30"/>
          <w:szCs w:val="30"/>
        </w:rPr>
        <w:t>《科研设计与论文书写》试题</w:t>
      </w:r>
    </w:p>
    <w:p w:rsidR="00E87940" w:rsidRDefault="00E87940" w:rsidP="00E87940">
      <w:pPr>
        <w:adjustRightInd w:val="0"/>
        <w:snapToGrid w:val="0"/>
        <w:spacing w:line="360" w:lineRule="exact"/>
        <w:ind w:firstLineChars="200" w:firstLine="480"/>
        <w:rPr>
          <w:rFonts w:ascii="宋体" w:hAnsi="宋体"/>
          <w:snapToGrid w:val="0"/>
          <w:kern w:val="0"/>
          <w:sz w:val="24"/>
        </w:rPr>
      </w:pPr>
      <w:r>
        <w:rPr>
          <w:rFonts w:ascii="宋体" w:hAnsi="宋体" w:hint="eastAsia"/>
          <w:snapToGrid w:val="0"/>
          <w:kern w:val="0"/>
          <w:sz w:val="24"/>
        </w:rPr>
        <w:t>年级：</w:t>
      </w:r>
      <w:r w:rsidR="006524C3">
        <w:fldChar w:fldCharType="begin"/>
      </w:r>
      <w:r w:rsidR="006524C3">
        <w:instrText xml:space="preserve"> FILLIN "</w:instrText>
      </w:r>
      <w:r w:rsidR="006524C3">
        <w:instrText>请输入使用的年级（如</w:instrText>
      </w:r>
      <w:r w:rsidR="006524C3">
        <w:instrText>2001</w:instrText>
      </w:r>
      <w:r w:rsidR="006524C3">
        <w:instrText>）：</w:instrText>
      </w:r>
      <w:r w:rsidR="006524C3">
        <w:instrText>" \d "XXXX</w:instrText>
      </w:r>
      <w:r w:rsidR="006524C3">
        <w:instrText>级</w:instrText>
      </w:r>
      <w:r w:rsidR="006524C3">
        <w:instrText xml:space="preserve">" \* MERGEFORMAT </w:instrText>
      </w:r>
      <w:r w:rsidR="006524C3">
        <w:fldChar w:fldCharType="separate"/>
      </w:r>
      <w:r w:rsidR="007D395F">
        <w:rPr>
          <w:rFonts w:ascii="宋体" w:hAnsi="宋体" w:hint="eastAsia"/>
          <w:snapToGrid w:val="0"/>
          <w:kern w:val="0"/>
          <w:sz w:val="24"/>
        </w:rPr>
        <w:t>2020</w:t>
      </w:r>
      <w:r>
        <w:rPr>
          <w:rFonts w:ascii="宋体" w:hAnsi="宋体" w:hint="eastAsia"/>
          <w:snapToGrid w:val="0"/>
          <w:kern w:val="0"/>
          <w:sz w:val="24"/>
        </w:rPr>
        <w:t>级</w:t>
      </w:r>
      <w:r w:rsidR="006524C3">
        <w:rPr>
          <w:rFonts w:ascii="宋体" w:hAnsi="宋体"/>
          <w:snapToGrid w:val="0"/>
          <w:kern w:val="0"/>
          <w:sz w:val="24"/>
        </w:rPr>
        <w:fldChar w:fldCharType="end"/>
      </w:r>
      <w:r>
        <w:rPr>
          <w:rFonts w:ascii="宋体" w:hAnsi="宋体" w:hint="eastAsia"/>
          <w:snapToGrid w:val="0"/>
          <w:kern w:val="0"/>
          <w:sz w:val="24"/>
        </w:rPr>
        <w:t xml:space="preserve">    考试形式：大作业  </w:t>
      </w:r>
      <w:r w:rsidR="00C82775">
        <w:rPr>
          <w:rFonts w:ascii="宋体" w:hAnsi="宋体" w:hint="eastAsia"/>
          <w:snapToGrid w:val="0"/>
          <w:kern w:val="0"/>
          <w:sz w:val="24"/>
        </w:rPr>
        <w:t xml:space="preserve"> </w:t>
      </w:r>
      <w:bookmarkStart w:id="0" w:name="_GoBack"/>
      <w:bookmarkEnd w:id="0"/>
      <w:r w:rsidR="00C82775">
        <w:rPr>
          <w:rFonts w:ascii="宋体" w:hAnsi="宋体" w:hint="eastAsia"/>
          <w:snapToGrid w:val="0"/>
          <w:kern w:val="0"/>
          <w:sz w:val="24"/>
        </w:rPr>
        <w:t xml:space="preserve">姓名：           </w:t>
      </w:r>
    </w:p>
    <w:p w:rsidR="00E87940" w:rsidRDefault="00E87940" w:rsidP="00E87940">
      <w:pPr>
        <w:adjustRightInd w:val="0"/>
        <w:snapToGrid w:val="0"/>
        <w:rPr>
          <w:rFonts w:asciiTheme="minorEastAsia" w:eastAsiaTheme="minorEastAsia" w:hAnsiTheme="minorEastAsia" w:hint="eastAsia"/>
          <w:b/>
          <w:snapToGrid w:val="0"/>
          <w:kern w:val="0"/>
          <w:sz w:val="24"/>
          <w:szCs w:val="24"/>
          <w:bdr w:val="single" w:sz="4" w:space="0" w:color="auto"/>
        </w:rPr>
      </w:pPr>
      <w:r>
        <w:rPr>
          <w:rFonts w:asciiTheme="minorEastAsia" w:eastAsiaTheme="minorEastAsia" w:hAnsiTheme="minorEastAsia" w:hint="eastAsia"/>
          <w:b/>
          <w:snapToGrid w:val="0"/>
          <w:kern w:val="0"/>
          <w:sz w:val="24"/>
          <w:szCs w:val="24"/>
          <w:bdr w:val="single" w:sz="4" w:space="0" w:color="auto"/>
        </w:rPr>
        <w:t>请在“答”字后面直接进行编辑答题！（务必排版整齐，否则影响卷面分）</w:t>
      </w:r>
    </w:p>
    <w:p w:rsidR="00C82775" w:rsidRPr="00C82775" w:rsidRDefault="00C82775" w:rsidP="00E87940">
      <w:pPr>
        <w:adjustRightInd w:val="0"/>
        <w:snapToGrid w:val="0"/>
        <w:rPr>
          <w:rFonts w:asciiTheme="minorEastAsia" w:eastAsiaTheme="minorEastAsia" w:hAnsiTheme="minorEastAsia"/>
          <w:b/>
          <w:snapToGrid w:val="0"/>
          <w:kern w:val="0"/>
          <w:sz w:val="24"/>
          <w:szCs w:val="24"/>
          <w:bdr w:val="single" w:sz="4" w:space="0" w:color="auto"/>
        </w:rPr>
      </w:pPr>
      <w:r w:rsidRPr="00496AD4">
        <w:rPr>
          <w:rFonts w:asciiTheme="minorEastAsia" w:eastAsiaTheme="minorEastAsia" w:hAnsiTheme="minorEastAsia" w:hint="eastAsia"/>
          <w:b/>
          <w:snapToGrid w:val="0"/>
          <w:kern w:val="0"/>
          <w:sz w:val="24"/>
          <w:szCs w:val="24"/>
          <w:bdr w:val="single" w:sz="4" w:space="0" w:color="auto"/>
        </w:rPr>
        <w:t>请勿网络复制粘贴，否则会影响分数！</w:t>
      </w:r>
    </w:p>
    <w:p w:rsidR="00E87940" w:rsidRPr="00E87940" w:rsidRDefault="00E87940" w:rsidP="00E87940">
      <w:pPr>
        <w:rPr>
          <w:b/>
          <w:bCs/>
        </w:rPr>
      </w:pPr>
      <w:proofErr w:type="gramStart"/>
      <w:r w:rsidRPr="00E87940">
        <w:rPr>
          <w:rFonts w:hint="eastAsia"/>
          <w:b/>
          <w:bCs/>
        </w:rPr>
        <w:t>一</w:t>
      </w:r>
      <w:proofErr w:type="gramEnd"/>
      <w:r w:rsidRPr="00E87940">
        <w:rPr>
          <w:rFonts w:hint="eastAsia"/>
          <w:b/>
          <w:bCs/>
        </w:rPr>
        <w:t>．问答题</w:t>
      </w:r>
      <w:r w:rsidR="003B7501">
        <w:rPr>
          <w:rFonts w:hint="eastAsia"/>
          <w:b/>
          <w:bCs/>
        </w:rPr>
        <w:t>（</w:t>
      </w:r>
      <w:r w:rsidR="003B7501">
        <w:rPr>
          <w:rFonts w:hint="eastAsia"/>
          <w:b/>
          <w:bCs/>
        </w:rPr>
        <w:t>54</w:t>
      </w:r>
      <w:r w:rsidR="003B7501">
        <w:rPr>
          <w:rFonts w:hint="eastAsia"/>
          <w:b/>
          <w:bCs/>
        </w:rPr>
        <w:t>分）</w:t>
      </w:r>
    </w:p>
    <w:p w:rsidR="00E87940" w:rsidRPr="00E87940" w:rsidRDefault="00E87940" w:rsidP="00E87940">
      <w:pPr>
        <w:rPr>
          <w:b/>
          <w:bCs/>
        </w:rPr>
      </w:pPr>
      <w:r>
        <w:rPr>
          <w:rFonts w:hint="eastAsia"/>
          <w:b/>
          <w:bCs/>
        </w:rPr>
        <w:t>1.</w:t>
      </w:r>
      <w:r w:rsidRPr="00E87940">
        <w:rPr>
          <w:b/>
          <w:bCs/>
        </w:rPr>
        <w:t>Meta-</w:t>
      </w:r>
      <w:r w:rsidRPr="00E87940">
        <w:rPr>
          <w:rFonts w:hint="eastAsia"/>
          <w:b/>
          <w:bCs/>
        </w:rPr>
        <w:t>分析的步骤有哪些？（</w:t>
      </w:r>
      <w:r>
        <w:rPr>
          <w:rFonts w:hint="eastAsia"/>
          <w:b/>
          <w:bCs/>
        </w:rPr>
        <w:t>1</w:t>
      </w:r>
      <w:r w:rsidR="00E648A9">
        <w:rPr>
          <w:rFonts w:hint="eastAsia"/>
          <w:b/>
          <w:bCs/>
        </w:rPr>
        <w:t>2</w:t>
      </w:r>
      <w:r w:rsidRPr="00E87940">
        <w:rPr>
          <w:rFonts w:hint="eastAsia"/>
          <w:b/>
          <w:bCs/>
        </w:rPr>
        <w:t>分）</w:t>
      </w:r>
    </w:p>
    <w:p w:rsidR="00E87940" w:rsidRPr="00E87940" w:rsidRDefault="00E87940" w:rsidP="00E8794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  <w:r w:rsidRPr="00E87940">
        <w:rPr>
          <w:rFonts w:ascii="宋体" w:hAnsi="宋体" w:hint="eastAsia"/>
          <w:snapToGrid w:val="0"/>
          <w:color w:val="FF0000"/>
          <w:kern w:val="0"/>
          <w:szCs w:val="21"/>
        </w:rPr>
        <w:t>答</w:t>
      </w:r>
      <w:r w:rsidRPr="00E87940">
        <w:rPr>
          <w:rFonts w:ascii="宋体" w:hAnsi="宋体" w:hint="eastAsia"/>
          <w:snapToGrid w:val="0"/>
          <w:kern w:val="0"/>
          <w:szCs w:val="21"/>
        </w:rPr>
        <w:t>：</w:t>
      </w:r>
    </w:p>
    <w:p w:rsidR="00E87940" w:rsidRDefault="00E87940" w:rsidP="00E8794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E87940" w:rsidRDefault="00E87940" w:rsidP="00E8794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E87940" w:rsidRDefault="00E87940" w:rsidP="00E8794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E87940" w:rsidRDefault="00E87940" w:rsidP="00E8794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E87940" w:rsidRDefault="00E87940" w:rsidP="00E8794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:rsidR="00E87940" w:rsidRPr="00E87940" w:rsidRDefault="00E87940" w:rsidP="00E87940">
      <w:pPr>
        <w:spacing w:line="276" w:lineRule="auto"/>
        <w:rPr>
          <w:rFonts w:ascii="宋体" w:hAnsi="宋体"/>
          <w:b/>
          <w:snapToGrid w:val="0"/>
          <w:kern w:val="0"/>
          <w:szCs w:val="21"/>
        </w:rPr>
      </w:pPr>
      <w:r w:rsidRPr="00E87940">
        <w:rPr>
          <w:rFonts w:hint="eastAsia"/>
          <w:b/>
        </w:rPr>
        <w:t>2.</w:t>
      </w:r>
      <w:r w:rsidRPr="00E87940">
        <w:rPr>
          <w:rFonts w:hint="eastAsia"/>
          <w:b/>
        </w:rPr>
        <w:t>科研</w:t>
      </w:r>
      <w:r w:rsidRPr="00E87940">
        <w:rPr>
          <w:b/>
        </w:rPr>
        <w:t>设计的基本原则有哪些，如何实施</w:t>
      </w:r>
      <w:r w:rsidRPr="00E87940">
        <w:rPr>
          <w:rFonts w:hint="eastAsia"/>
          <w:b/>
        </w:rPr>
        <w:t>？</w:t>
      </w:r>
      <w:r w:rsidRPr="00E87940">
        <w:rPr>
          <w:rFonts w:hint="eastAsia"/>
          <w:b/>
          <w:bCs/>
        </w:rPr>
        <w:t>（</w:t>
      </w:r>
      <w:r w:rsidR="00E648A9">
        <w:rPr>
          <w:rFonts w:hint="eastAsia"/>
          <w:b/>
          <w:bCs/>
        </w:rPr>
        <w:t>12</w:t>
      </w:r>
      <w:r w:rsidRPr="00E87940">
        <w:rPr>
          <w:rFonts w:hint="eastAsia"/>
          <w:b/>
          <w:bCs/>
        </w:rPr>
        <w:t>分）</w:t>
      </w:r>
      <w:r w:rsidRPr="00E87940">
        <w:rPr>
          <w:rFonts w:ascii="宋体" w:hAnsi="宋体"/>
          <w:b/>
          <w:snapToGrid w:val="0"/>
          <w:kern w:val="0"/>
          <w:szCs w:val="21"/>
        </w:rPr>
        <w:t xml:space="preserve"> </w:t>
      </w:r>
    </w:p>
    <w:p w:rsidR="00E87940" w:rsidRPr="00E87940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  <w:r w:rsidRPr="00E87940">
        <w:rPr>
          <w:rFonts w:ascii="宋体" w:hAnsi="宋体" w:hint="eastAsia"/>
          <w:snapToGrid w:val="0"/>
          <w:color w:val="FF0000"/>
          <w:kern w:val="0"/>
          <w:szCs w:val="21"/>
        </w:rPr>
        <w:t>答</w:t>
      </w:r>
      <w:r w:rsidRPr="00E87940">
        <w:rPr>
          <w:rFonts w:ascii="宋体" w:hAnsi="宋体" w:hint="eastAsia"/>
          <w:snapToGrid w:val="0"/>
          <w:kern w:val="0"/>
          <w:szCs w:val="21"/>
        </w:rPr>
        <w:t>：</w:t>
      </w:r>
    </w:p>
    <w:p w:rsidR="00E87940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87940" w:rsidRPr="00E87940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87940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87940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87940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87940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87940" w:rsidRPr="00E648A9" w:rsidRDefault="00E648A9" w:rsidP="00E8794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  <w:r>
        <w:rPr>
          <w:rFonts w:ascii="宋体" w:hAnsi="宋体" w:hint="eastAsia"/>
          <w:b/>
          <w:snapToGrid w:val="0"/>
          <w:kern w:val="0"/>
          <w:szCs w:val="21"/>
        </w:rPr>
        <w:t>3</w:t>
      </w:r>
      <w:r w:rsidRPr="00E648A9">
        <w:rPr>
          <w:rFonts w:ascii="宋体" w:hAnsi="宋体" w:hint="eastAsia"/>
          <w:b/>
          <w:snapToGrid w:val="0"/>
          <w:kern w:val="0"/>
          <w:szCs w:val="21"/>
        </w:rPr>
        <w:t>.简</w:t>
      </w:r>
      <w:proofErr w:type="gramStart"/>
      <w:r w:rsidRPr="00E648A9">
        <w:rPr>
          <w:rFonts w:ascii="宋体" w:hAnsi="宋体" w:hint="eastAsia"/>
          <w:b/>
          <w:snapToGrid w:val="0"/>
          <w:kern w:val="0"/>
          <w:szCs w:val="21"/>
        </w:rPr>
        <w:t>答提高</w:t>
      </w:r>
      <w:proofErr w:type="gramEnd"/>
      <w:r w:rsidRPr="00E648A9">
        <w:rPr>
          <w:rFonts w:ascii="宋体" w:hAnsi="宋体" w:hint="eastAsia"/>
          <w:b/>
          <w:snapToGrid w:val="0"/>
          <w:kern w:val="0"/>
          <w:szCs w:val="21"/>
        </w:rPr>
        <w:t>申报项目中标率的对策？（</w:t>
      </w:r>
      <w:r>
        <w:rPr>
          <w:rFonts w:ascii="宋体" w:hAnsi="宋体" w:hint="eastAsia"/>
          <w:b/>
          <w:snapToGrid w:val="0"/>
          <w:kern w:val="0"/>
          <w:szCs w:val="21"/>
        </w:rPr>
        <w:t>15</w:t>
      </w:r>
      <w:r w:rsidRPr="00E648A9">
        <w:rPr>
          <w:rFonts w:ascii="宋体" w:hAnsi="宋体" w:hint="eastAsia"/>
          <w:b/>
          <w:snapToGrid w:val="0"/>
          <w:kern w:val="0"/>
          <w:szCs w:val="21"/>
        </w:rPr>
        <w:t>分）</w:t>
      </w:r>
    </w:p>
    <w:p w:rsidR="00E648A9" w:rsidRDefault="00E648A9" w:rsidP="00E648A9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  <w:r w:rsidRPr="00E87940">
        <w:rPr>
          <w:rFonts w:ascii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hAnsi="宋体" w:hint="eastAsia"/>
          <w:snapToGrid w:val="0"/>
          <w:kern w:val="0"/>
          <w:szCs w:val="21"/>
        </w:rPr>
        <w:t>：</w:t>
      </w:r>
    </w:p>
    <w:p w:rsidR="00E87940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87940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648A9" w:rsidRDefault="00E648A9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648A9" w:rsidRDefault="00E648A9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648A9" w:rsidRDefault="00E648A9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648A9" w:rsidRDefault="00E648A9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648A9" w:rsidRPr="00E87940" w:rsidRDefault="00E648A9" w:rsidP="00E648A9">
      <w:pPr>
        <w:spacing w:line="276" w:lineRule="auto"/>
        <w:rPr>
          <w:b/>
        </w:rPr>
      </w:pPr>
      <w:r>
        <w:rPr>
          <w:rFonts w:hint="eastAsia"/>
          <w:b/>
        </w:rPr>
        <w:t>4</w:t>
      </w:r>
      <w:r w:rsidRPr="00E87940">
        <w:rPr>
          <w:rFonts w:hint="eastAsia"/>
          <w:b/>
        </w:rPr>
        <w:t>.</w:t>
      </w:r>
      <w:r w:rsidRPr="00E87940">
        <w:rPr>
          <w:rFonts w:hint="eastAsia"/>
          <w:b/>
        </w:rPr>
        <w:t>论述偏倚的类型及其控制方法。（</w:t>
      </w:r>
      <w:r>
        <w:rPr>
          <w:rFonts w:hint="eastAsia"/>
          <w:b/>
        </w:rPr>
        <w:t>15</w:t>
      </w:r>
      <w:r w:rsidRPr="00E87940">
        <w:rPr>
          <w:rFonts w:hint="eastAsia"/>
          <w:b/>
        </w:rPr>
        <w:t>分）</w:t>
      </w:r>
    </w:p>
    <w:p w:rsidR="00E648A9" w:rsidRDefault="00E648A9" w:rsidP="00E648A9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  <w:r w:rsidRPr="00E87940">
        <w:rPr>
          <w:rFonts w:ascii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hAnsi="宋体" w:hint="eastAsia"/>
          <w:snapToGrid w:val="0"/>
          <w:kern w:val="0"/>
          <w:szCs w:val="21"/>
        </w:rPr>
        <w:t>：</w:t>
      </w:r>
    </w:p>
    <w:p w:rsidR="00E648A9" w:rsidRDefault="00E648A9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87940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648A9" w:rsidRDefault="00E648A9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648A9" w:rsidRPr="00E87940" w:rsidRDefault="00E648A9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87940" w:rsidRPr="00233849" w:rsidRDefault="00E87940" w:rsidP="00E8794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  <w:r>
        <w:rPr>
          <w:rFonts w:ascii="宋体" w:hAnsi="宋体" w:hint="eastAsia"/>
          <w:b/>
          <w:snapToGrid w:val="0"/>
          <w:kern w:val="0"/>
          <w:szCs w:val="21"/>
        </w:rPr>
        <w:t>二</w:t>
      </w:r>
      <w:r w:rsidRPr="00233849">
        <w:rPr>
          <w:rFonts w:ascii="宋体" w:hAnsi="宋体" w:hint="eastAsia"/>
          <w:b/>
          <w:snapToGrid w:val="0"/>
          <w:kern w:val="0"/>
          <w:szCs w:val="21"/>
        </w:rPr>
        <w:t>、综合题</w:t>
      </w:r>
      <w:r w:rsidRPr="00233849">
        <w:rPr>
          <w:rFonts w:ascii="宋体" w:hAnsi="宋体"/>
          <w:b/>
          <w:snapToGrid w:val="0"/>
          <w:kern w:val="0"/>
          <w:szCs w:val="21"/>
        </w:rPr>
        <w:t>(</w:t>
      </w:r>
      <w:r w:rsidR="00E648A9">
        <w:rPr>
          <w:rFonts w:ascii="宋体" w:hAnsi="宋体" w:hint="eastAsia"/>
          <w:b/>
          <w:snapToGrid w:val="0"/>
          <w:kern w:val="0"/>
          <w:szCs w:val="21"/>
        </w:rPr>
        <w:t>46</w:t>
      </w:r>
      <w:r w:rsidRPr="00233849">
        <w:rPr>
          <w:rFonts w:ascii="宋体" w:hAnsi="宋体" w:hint="eastAsia"/>
          <w:b/>
          <w:snapToGrid w:val="0"/>
          <w:kern w:val="0"/>
          <w:szCs w:val="21"/>
        </w:rPr>
        <w:t>分</w:t>
      </w:r>
      <w:r w:rsidRPr="00233849">
        <w:rPr>
          <w:rFonts w:ascii="宋体" w:hAnsi="宋体"/>
          <w:b/>
          <w:snapToGrid w:val="0"/>
          <w:kern w:val="0"/>
          <w:szCs w:val="21"/>
        </w:rPr>
        <w:t>)</w:t>
      </w:r>
    </w:p>
    <w:p w:rsidR="00E87940" w:rsidRPr="00C54DC2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  <w:r w:rsidRPr="00C54DC2">
        <w:rPr>
          <w:rFonts w:ascii="宋体" w:hAnsi="宋体" w:hint="eastAsia"/>
          <w:snapToGrid w:val="0"/>
          <w:kern w:val="0"/>
          <w:szCs w:val="21"/>
        </w:rPr>
        <w:t>请根据以下医学论文中给出的材料信息。</w:t>
      </w:r>
    </w:p>
    <w:p w:rsidR="00E87940" w:rsidRPr="00E87940" w:rsidRDefault="00E87940" w:rsidP="00E8794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  <w:r w:rsidRPr="00E87940">
        <w:rPr>
          <w:rFonts w:ascii="宋体" w:hAnsi="宋体" w:hint="eastAsia"/>
          <w:b/>
          <w:snapToGrid w:val="0"/>
          <w:kern w:val="0"/>
          <w:szCs w:val="21"/>
        </w:rPr>
        <w:t>1、写出该论文的结构式摘要（目的、方法、结果、结论）？</w:t>
      </w:r>
    </w:p>
    <w:p w:rsidR="00E87940" w:rsidRPr="00E87940" w:rsidRDefault="00E87940" w:rsidP="00E87940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  <w:r w:rsidRPr="00E87940">
        <w:rPr>
          <w:rFonts w:ascii="宋体" w:hAnsi="宋体" w:hint="eastAsia"/>
          <w:b/>
          <w:snapToGrid w:val="0"/>
          <w:kern w:val="0"/>
          <w:szCs w:val="21"/>
        </w:rPr>
        <w:t>2、写出关键词？</w:t>
      </w:r>
    </w:p>
    <w:p w:rsidR="00E87940" w:rsidRPr="00C54DC2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</w:p>
    <w:p w:rsidR="00E87940" w:rsidRPr="00C54DC2" w:rsidRDefault="00E87940" w:rsidP="00E87940">
      <w:pPr>
        <w:adjustRightInd w:val="0"/>
        <w:snapToGrid w:val="0"/>
        <w:ind w:firstLineChars="50" w:firstLine="105"/>
        <w:rPr>
          <w:rFonts w:ascii="宋体" w:hAnsi="宋体"/>
          <w:snapToGrid w:val="0"/>
          <w:kern w:val="0"/>
          <w:szCs w:val="21"/>
        </w:rPr>
      </w:pPr>
      <w:r w:rsidRPr="00C54DC2">
        <w:rPr>
          <w:rFonts w:ascii="宋体" w:hAnsi="宋体" w:hint="eastAsia"/>
          <w:snapToGrid w:val="0"/>
          <w:kern w:val="0"/>
          <w:szCs w:val="21"/>
        </w:rPr>
        <w:t xml:space="preserve">临床抗结核治疗中, </w:t>
      </w:r>
      <w:proofErr w:type="gramStart"/>
      <w:r w:rsidRPr="00C54DC2">
        <w:rPr>
          <w:rFonts w:ascii="宋体" w:hAnsi="宋体" w:hint="eastAsia"/>
          <w:snapToGrid w:val="0"/>
          <w:kern w:val="0"/>
          <w:szCs w:val="21"/>
        </w:rPr>
        <w:t>常多种</w:t>
      </w:r>
      <w:proofErr w:type="gramEnd"/>
      <w:r w:rsidRPr="00C54DC2">
        <w:rPr>
          <w:rFonts w:ascii="宋体" w:hAnsi="宋体" w:hint="eastAsia"/>
          <w:snapToGrid w:val="0"/>
          <w:kern w:val="0"/>
          <w:szCs w:val="21"/>
        </w:rPr>
        <w:t>抗结核药物联合使用和疗程长, 而多种抗结核药物有不同程度的肝脏毒性, 故常发生肝功能损害而影响化疗的进行。近年来, 我院使用异甘草酸</w:t>
      </w:r>
      <w:proofErr w:type="gramStart"/>
      <w:r w:rsidRPr="00C54DC2">
        <w:rPr>
          <w:rFonts w:ascii="宋体" w:hAnsi="宋体" w:hint="eastAsia"/>
          <w:snapToGrid w:val="0"/>
          <w:kern w:val="0"/>
          <w:szCs w:val="21"/>
        </w:rPr>
        <w:t>镁治疗</w:t>
      </w:r>
      <w:proofErr w:type="gramEnd"/>
      <w:r w:rsidRPr="00C54DC2">
        <w:rPr>
          <w:rFonts w:ascii="宋体" w:hAnsi="宋体" w:hint="eastAsia"/>
          <w:snapToGrid w:val="0"/>
          <w:kern w:val="0"/>
          <w:szCs w:val="21"/>
        </w:rPr>
        <w:t>抗结核药引起的药物性肝炎, 患者肝功能恢复快, 且不良反应少, 现报告如下。</w:t>
      </w:r>
    </w:p>
    <w:p w:rsidR="00E87940" w:rsidRPr="00C156CE" w:rsidRDefault="00E87940" w:rsidP="00E87940">
      <w:pPr>
        <w:adjustRightInd w:val="0"/>
        <w:snapToGrid w:val="0"/>
        <w:ind w:firstLineChars="50" w:firstLine="105"/>
        <w:rPr>
          <w:rFonts w:ascii="宋体" w:hAnsi="宋体"/>
          <w:b/>
          <w:snapToGrid w:val="0"/>
          <w:kern w:val="0"/>
          <w:szCs w:val="21"/>
        </w:rPr>
      </w:pPr>
      <w:r w:rsidRPr="00C156CE">
        <w:rPr>
          <w:rFonts w:ascii="宋体" w:hAnsi="宋体" w:hint="eastAsia"/>
          <w:b/>
          <w:snapToGrid w:val="0"/>
          <w:kern w:val="0"/>
          <w:szCs w:val="21"/>
        </w:rPr>
        <w:t>资料与方法</w:t>
      </w:r>
      <w:r>
        <w:rPr>
          <w:rFonts w:ascii="宋体" w:hAnsi="宋体" w:hint="eastAsia"/>
          <w:b/>
          <w:snapToGrid w:val="0"/>
          <w:kern w:val="0"/>
          <w:szCs w:val="21"/>
        </w:rPr>
        <w:t>：</w:t>
      </w:r>
    </w:p>
    <w:p w:rsidR="00E87940" w:rsidRPr="00C54DC2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  <w:r w:rsidRPr="00C54DC2">
        <w:rPr>
          <w:rFonts w:ascii="宋体" w:hAnsi="宋体" w:hint="eastAsia"/>
          <w:snapToGrid w:val="0"/>
          <w:kern w:val="0"/>
          <w:szCs w:val="21"/>
        </w:rPr>
        <w:t xml:space="preserve">    2007年6月至2009年3月治疗肺结核过程中，因应用抗结核药物导致肝功能损害的住院患者74例，均符合中华医学会结核病学分会《结核病诊断和治疗指南》中肺结核病诊断</w:t>
      </w:r>
      <w:r w:rsidRPr="00C54DC2">
        <w:rPr>
          <w:rFonts w:ascii="宋体" w:hAnsi="宋体" w:hint="eastAsia"/>
          <w:snapToGrid w:val="0"/>
          <w:kern w:val="0"/>
          <w:szCs w:val="21"/>
        </w:rPr>
        <w:lastRenderedPageBreak/>
        <w:t>标准，其中男48例，女26 例；年龄20-65 岁，平均39.4岁。均接受异烟肼、利福平、乙胺丁醇、</w:t>
      </w:r>
      <w:proofErr w:type="gramStart"/>
      <w:r w:rsidRPr="00C54DC2">
        <w:rPr>
          <w:rFonts w:ascii="宋体" w:hAnsi="宋体" w:hint="eastAsia"/>
          <w:snapToGrid w:val="0"/>
          <w:kern w:val="0"/>
          <w:szCs w:val="21"/>
        </w:rPr>
        <w:t>吡嗪</w:t>
      </w:r>
      <w:proofErr w:type="gramEnd"/>
      <w:r w:rsidRPr="00C54DC2">
        <w:rPr>
          <w:rFonts w:ascii="宋体" w:hAnsi="宋体" w:hint="eastAsia"/>
          <w:snapToGrid w:val="0"/>
          <w:kern w:val="0"/>
          <w:szCs w:val="21"/>
        </w:rPr>
        <w:t>酰胺</w:t>
      </w:r>
      <w:proofErr w:type="gramStart"/>
      <w:r w:rsidRPr="00C54DC2">
        <w:rPr>
          <w:rFonts w:ascii="宋体" w:hAnsi="宋体" w:hint="eastAsia"/>
          <w:snapToGrid w:val="0"/>
          <w:kern w:val="0"/>
          <w:szCs w:val="21"/>
        </w:rPr>
        <w:t>四联抗结核</w:t>
      </w:r>
      <w:proofErr w:type="gramEnd"/>
      <w:r w:rsidRPr="00C54DC2">
        <w:rPr>
          <w:rFonts w:ascii="宋体" w:hAnsi="宋体" w:hint="eastAsia"/>
          <w:snapToGrid w:val="0"/>
          <w:kern w:val="0"/>
          <w:szCs w:val="21"/>
        </w:rPr>
        <w:t>治疗。治疗前肝功能均正常, 乙型及丙型病毒性肝炎的血清学标志物均阴性,彩色B 超检查排除肝脏结核,治疗期间未合并使用其他肝损药物。两组患者在性别、年龄、发病原因、辅助检查、基础治疗等方面均无显著差异,具有可比性。</w:t>
      </w:r>
    </w:p>
    <w:p w:rsidR="00E87940" w:rsidRPr="00C54DC2" w:rsidRDefault="00E87940" w:rsidP="00E87940">
      <w:pPr>
        <w:adjustRightInd w:val="0"/>
        <w:snapToGrid w:val="0"/>
        <w:ind w:firstLineChars="50" w:firstLine="105"/>
        <w:rPr>
          <w:rFonts w:ascii="宋体" w:hAnsi="宋体"/>
          <w:snapToGrid w:val="0"/>
          <w:kern w:val="0"/>
          <w:szCs w:val="21"/>
        </w:rPr>
      </w:pPr>
      <w:r w:rsidRPr="00C54DC2">
        <w:rPr>
          <w:rFonts w:ascii="宋体" w:hAnsi="宋体" w:hint="eastAsia"/>
          <w:snapToGrid w:val="0"/>
          <w:kern w:val="0"/>
          <w:szCs w:val="21"/>
        </w:rPr>
        <w:t>治疗方法: 随机将患者分为两组,两组均先停用抗结核药物, 对照组36</w:t>
      </w:r>
      <w:proofErr w:type="gramStart"/>
      <w:r w:rsidRPr="00C54DC2">
        <w:rPr>
          <w:rFonts w:ascii="宋体" w:hAnsi="宋体" w:hint="eastAsia"/>
          <w:snapToGrid w:val="0"/>
          <w:kern w:val="0"/>
          <w:szCs w:val="21"/>
        </w:rPr>
        <w:t>例予以</w:t>
      </w:r>
      <w:proofErr w:type="gramEnd"/>
      <w:r w:rsidRPr="00C54DC2">
        <w:rPr>
          <w:rFonts w:ascii="宋体" w:hAnsi="宋体" w:hint="eastAsia"/>
          <w:snapToGrid w:val="0"/>
          <w:kern w:val="0"/>
          <w:szCs w:val="21"/>
        </w:rPr>
        <w:t xml:space="preserve">还原型谷胱甘肽(古拉定) 1200mg加入5%葡萄糖溶液250ml中静滴，每日1次，治疗2周；治疗组38 </w:t>
      </w:r>
      <w:proofErr w:type="gramStart"/>
      <w:r w:rsidRPr="00C54DC2">
        <w:rPr>
          <w:rFonts w:ascii="宋体" w:hAnsi="宋体" w:hint="eastAsia"/>
          <w:snapToGrid w:val="0"/>
          <w:kern w:val="0"/>
          <w:szCs w:val="21"/>
        </w:rPr>
        <w:t>例予以</w:t>
      </w:r>
      <w:proofErr w:type="gramEnd"/>
      <w:r w:rsidRPr="00C54DC2">
        <w:rPr>
          <w:rFonts w:ascii="宋体" w:hAnsi="宋体" w:hint="eastAsia"/>
          <w:snapToGrid w:val="0"/>
          <w:kern w:val="0"/>
          <w:szCs w:val="21"/>
        </w:rPr>
        <w:t>异甘草酸镁注射液(天晴甘美) 100mg 加入5% 葡萄糖溶液250ml中静脉滴注, 每日1次, 治疗2周。后再次行抗结核治疗, 抗结核方案均调整为异烟肼、利福平、乙胺丁醇、左氧氟</w:t>
      </w:r>
      <w:proofErr w:type="gramStart"/>
      <w:r w:rsidRPr="00C54DC2">
        <w:rPr>
          <w:rFonts w:ascii="宋体" w:hAnsi="宋体" w:hint="eastAsia"/>
          <w:snapToGrid w:val="0"/>
          <w:kern w:val="0"/>
          <w:szCs w:val="21"/>
        </w:rPr>
        <w:t>沙星四联</w:t>
      </w:r>
      <w:proofErr w:type="gramEnd"/>
      <w:r w:rsidRPr="00C54DC2">
        <w:rPr>
          <w:rFonts w:ascii="宋体" w:hAnsi="宋体" w:hint="eastAsia"/>
          <w:snapToGrid w:val="0"/>
          <w:kern w:val="0"/>
          <w:szCs w:val="21"/>
        </w:rPr>
        <w:t>, 同时治疗组及对照组均继续各自护肝用药, 疗程2周。</w:t>
      </w:r>
    </w:p>
    <w:p w:rsidR="00E87940" w:rsidRPr="00C54DC2" w:rsidRDefault="00E87940" w:rsidP="00E87940">
      <w:pPr>
        <w:adjustRightInd w:val="0"/>
        <w:snapToGrid w:val="0"/>
        <w:ind w:firstLineChars="50" w:firstLine="105"/>
        <w:rPr>
          <w:rFonts w:ascii="宋体" w:hAnsi="宋体"/>
          <w:snapToGrid w:val="0"/>
          <w:kern w:val="0"/>
          <w:szCs w:val="21"/>
        </w:rPr>
      </w:pPr>
      <w:r w:rsidRPr="00C54DC2">
        <w:rPr>
          <w:rFonts w:ascii="宋体" w:hAnsi="宋体" w:hint="eastAsia"/>
          <w:snapToGrid w:val="0"/>
          <w:kern w:val="0"/>
          <w:szCs w:val="21"/>
        </w:rPr>
        <w:t>观察项目: 常规检测患者用药前、2周后、4周后的血生化指标并记录药物不良反应。</w:t>
      </w:r>
    </w:p>
    <w:p w:rsidR="00E87940" w:rsidRPr="00C54DC2" w:rsidRDefault="00E87940" w:rsidP="00E87940">
      <w:pPr>
        <w:adjustRightInd w:val="0"/>
        <w:snapToGrid w:val="0"/>
        <w:ind w:firstLineChars="50" w:firstLine="105"/>
        <w:rPr>
          <w:rFonts w:ascii="宋体" w:hAnsi="宋体"/>
          <w:snapToGrid w:val="0"/>
          <w:kern w:val="0"/>
          <w:szCs w:val="21"/>
        </w:rPr>
      </w:pPr>
      <w:r w:rsidRPr="00C54DC2">
        <w:rPr>
          <w:rFonts w:ascii="宋体" w:hAnsi="宋体" w:hint="eastAsia"/>
          <w:snapToGrid w:val="0"/>
          <w:kern w:val="0"/>
          <w:szCs w:val="21"/>
        </w:rPr>
        <w:t>统计学方法: 采用SPSS统计软件进行数据录入和分析, 计量资料用t检验。</w:t>
      </w:r>
    </w:p>
    <w:p w:rsidR="00E87940" w:rsidRPr="00C156CE" w:rsidRDefault="00E87940" w:rsidP="00E87940">
      <w:pPr>
        <w:adjustRightInd w:val="0"/>
        <w:snapToGrid w:val="0"/>
        <w:ind w:firstLineChars="50" w:firstLine="105"/>
        <w:rPr>
          <w:rFonts w:ascii="宋体" w:hAnsi="宋体"/>
          <w:b/>
          <w:snapToGrid w:val="0"/>
          <w:kern w:val="0"/>
          <w:szCs w:val="21"/>
        </w:rPr>
      </w:pPr>
      <w:r w:rsidRPr="00C156CE">
        <w:rPr>
          <w:rFonts w:ascii="宋体" w:hAnsi="宋体" w:hint="eastAsia"/>
          <w:b/>
          <w:snapToGrid w:val="0"/>
          <w:kern w:val="0"/>
          <w:szCs w:val="21"/>
        </w:rPr>
        <w:t>结 果</w:t>
      </w:r>
    </w:p>
    <w:p w:rsidR="00E87940" w:rsidRPr="00C54DC2" w:rsidRDefault="00E87940" w:rsidP="00E87940">
      <w:pPr>
        <w:adjustRightInd w:val="0"/>
        <w:snapToGrid w:val="0"/>
        <w:ind w:firstLineChars="50" w:firstLine="105"/>
        <w:rPr>
          <w:rFonts w:ascii="宋体" w:hAnsi="宋体"/>
          <w:snapToGrid w:val="0"/>
          <w:kern w:val="0"/>
          <w:szCs w:val="21"/>
        </w:rPr>
      </w:pPr>
      <w:r w:rsidRPr="00C54DC2">
        <w:rPr>
          <w:rFonts w:ascii="宋体" w:hAnsi="宋体" w:hint="eastAsia"/>
          <w:snapToGrid w:val="0"/>
          <w:kern w:val="0"/>
          <w:szCs w:val="21"/>
        </w:rPr>
        <w:t>两组患者血生化指标变化的比较: 治疗2周后两组患者肝功能均有恢复，且治疗组疗效优于对照组(P &lt; 0.05),（见表1）。</w:t>
      </w:r>
    </w:p>
    <w:p w:rsidR="00E87940" w:rsidRDefault="00E87940" w:rsidP="00E87940">
      <w:pPr>
        <w:adjustRightInd w:val="0"/>
        <w:snapToGrid w:val="0"/>
        <w:ind w:firstLineChars="50" w:firstLine="105"/>
        <w:rPr>
          <w:rFonts w:ascii="宋体" w:hAnsi="宋体"/>
          <w:snapToGrid w:val="0"/>
          <w:kern w:val="0"/>
          <w:szCs w:val="21"/>
        </w:rPr>
      </w:pPr>
      <w:r w:rsidRPr="00C54DC2">
        <w:rPr>
          <w:rFonts w:ascii="宋体" w:hAnsi="宋体" w:hint="eastAsia"/>
          <w:snapToGrid w:val="0"/>
          <w:kern w:val="0"/>
          <w:szCs w:val="21"/>
        </w:rPr>
        <w:t>患者继续行抗结核治疗，抗结核方案均调整为异烟肼、利福平、乙胺丁醇、左氧氟</w:t>
      </w:r>
      <w:proofErr w:type="gramStart"/>
      <w:r w:rsidRPr="00C54DC2">
        <w:rPr>
          <w:rFonts w:ascii="宋体" w:hAnsi="宋体" w:hint="eastAsia"/>
          <w:snapToGrid w:val="0"/>
          <w:kern w:val="0"/>
          <w:szCs w:val="21"/>
        </w:rPr>
        <w:t>沙星四联</w:t>
      </w:r>
      <w:proofErr w:type="gramEnd"/>
      <w:r w:rsidRPr="00C54DC2">
        <w:rPr>
          <w:rFonts w:ascii="宋体" w:hAnsi="宋体" w:hint="eastAsia"/>
          <w:snapToGrid w:val="0"/>
          <w:kern w:val="0"/>
          <w:szCs w:val="21"/>
        </w:rPr>
        <w:t>,同时治疗组及对照组均继续各自护肝用药, 2周后治疗组疗效仍优于对照组(P &lt; 0.05)。4 周后对照组中有5例患者肝功能明显异常，再次停用抗结核药物，治疗组仅有1例肝功能明显异常而停用抗结核药物,（见表2）。</w:t>
      </w:r>
    </w:p>
    <w:p w:rsidR="00E87940" w:rsidRPr="00C54DC2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 xml:space="preserve">    </w:t>
      </w:r>
    </w:p>
    <w:p w:rsidR="00E87940" w:rsidRPr="00C54DC2" w:rsidRDefault="00E87940" w:rsidP="00E87940">
      <w:pPr>
        <w:adjustRightInd w:val="0"/>
        <w:snapToGrid w:val="0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noProof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306705</wp:posOffset>
            </wp:positionV>
            <wp:extent cx="5547360" cy="3522345"/>
            <wp:effectExtent l="19050" t="0" r="0" b="0"/>
            <wp:wrapTopAndBottom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0000"/>
                    </a:blip>
                    <a:srcRect l="35692" t="34006" r="6422" b="13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60" cy="352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4DC2">
        <w:rPr>
          <w:rFonts w:ascii="宋体" w:hAnsi="宋体" w:hint="eastAsia"/>
          <w:snapToGrid w:val="0"/>
          <w:kern w:val="0"/>
          <w:szCs w:val="21"/>
        </w:rPr>
        <w:t>不良反应: 两组患者护肝用药期间均未出现明显不良反应。</w:t>
      </w:r>
    </w:p>
    <w:p w:rsidR="00E87940" w:rsidRPr="00C156CE" w:rsidRDefault="00E87940" w:rsidP="00E87940">
      <w:pPr>
        <w:adjustRightInd w:val="0"/>
        <w:snapToGrid w:val="0"/>
        <w:ind w:firstLineChars="50" w:firstLine="105"/>
        <w:rPr>
          <w:rFonts w:ascii="宋体" w:hAnsi="宋体"/>
          <w:b/>
          <w:snapToGrid w:val="0"/>
          <w:kern w:val="0"/>
          <w:szCs w:val="21"/>
        </w:rPr>
      </w:pPr>
      <w:r w:rsidRPr="00C156CE">
        <w:rPr>
          <w:rFonts w:ascii="宋体" w:hAnsi="宋体" w:hint="eastAsia"/>
          <w:b/>
          <w:snapToGrid w:val="0"/>
          <w:kern w:val="0"/>
          <w:szCs w:val="21"/>
        </w:rPr>
        <w:t>讨 论</w:t>
      </w:r>
    </w:p>
    <w:p w:rsidR="00E87940" w:rsidRPr="00233849" w:rsidRDefault="00E87940" w:rsidP="00E87940">
      <w:pPr>
        <w:adjustRightInd w:val="0"/>
        <w:snapToGrid w:val="0"/>
        <w:ind w:firstLineChars="50" w:firstLine="105"/>
        <w:rPr>
          <w:rFonts w:ascii="宋体" w:hAnsi="宋体"/>
          <w:snapToGrid w:val="0"/>
          <w:kern w:val="0"/>
          <w:szCs w:val="21"/>
        </w:rPr>
      </w:pPr>
      <w:r w:rsidRPr="00233849">
        <w:rPr>
          <w:rFonts w:ascii="宋体" w:hAnsi="宋体" w:hint="eastAsia"/>
          <w:snapToGrid w:val="0"/>
          <w:kern w:val="0"/>
          <w:szCs w:val="21"/>
        </w:rPr>
        <w:t>抗结核药物所致的肝损害是药物性肝炎的主要原因之一, 也是抗结核治疗过程中常见的不良反应， 不仅增加患者的经济和精神负担， 也影响了患者抗结核治疗的延续， 从而出现不规则服药， 导致耐药，也是目前我国耐药结核病人增多的原因之一。药物抗结核药物是结核病化学治疗(简称化疗) 的基础， 而结核病的化学治疗是人类控制结核病的主要手段。结核病化疗的出现使结核病的控制有了划时代的改变， 全球结核病疫情由此得以迅速控制。</w:t>
      </w:r>
    </w:p>
    <w:p w:rsidR="00E87940" w:rsidRPr="00233849" w:rsidRDefault="00E87940" w:rsidP="00E87940">
      <w:pPr>
        <w:adjustRightInd w:val="0"/>
        <w:snapToGrid w:val="0"/>
        <w:ind w:firstLineChars="50" w:firstLine="105"/>
        <w:rPr>
          <w:rFonts w:ascii="宋体" w:hAnsi="宋体"/>
          <w:snapToGrid w:val="0"/>
          <w:kern w:val="0"/>
          <w:szCs w:val="21"/>
        </w:rPr>
      </w:pPr>
      <w:r w:rsidRPr="00233849">
        <w:rPr>
          <w:rFonts w:ascii="宋体" w:hAnsi="宋体" w:hint="eastAsia"/>
          <w:snapToGrid w:val="0"/>
          <w:kern w:val="0"/>
          <w:szCs w:val="21"/>
        </w:rPr>
        <w:t xml:space="preserve">最早出现的有效抗结核药物当数链霉素(SM )。它诞生于20世纪40年代，当时单用SM 治疗肺结核2-3 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个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月后就可使临床症状和X 线影像得以改善，并可暂获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痰菌阴转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。对氨水杨酸(PAS)被应用于临床后结果显示，SM 加PAS的治疗效果优于单一用药，而且可以防止结核分支杆菌产生耐药性。发明异烟肼(INH ) 后， 有人单用INH和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联用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INH +PAS或SM 进行</w:t>
      </w:r>
      <w:r w:rsidRPr="00233849">
        <w:rPr>
          <w:rFonts w:ascii="宋体" w:hAnsi="宋体" w:hint="eastAsia"/>
          <w:snapToGrid w:val="0"/>
          <w:kern w:val="0"/>
          <w:szCs w:val="21"/>
        </w:rPr>
        <w:lastRenderedPageBreak/>
        <w:t>对比治疗试验，再一次证明了联合用药的优势。于是在此基础上产生了著名的结核病“标准”化疗方案，即SM + INH + PAS，疗程18个月-2年，并可根据药源和患者的耐受性将PAS替换为乙胺丁醇( EM B)或氨硫脲( TB1)，俗称“ 老三化”。20 世纪70 年代随着利福平( RFP)在临床上的应用以及对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吡嗪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酰胺( PZA )的重新认识，在经过大量的试验后，短程化疗成为结核病治疗的最大热点，并取得了令人瞩目的成就。当人类迈入2000年的今天，抗结核药物的研究已经获得了更进一步的发展，其中最引人注目的主要是利福霉素和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氟喹诺酮这两大类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药物，尤以后者更为突出。</w:t>
      </w:r>
    </w:p>
    <w:p w:rsidR="00E87940" w:rsidRPr="00233849" w:rsidRDefault="00E87940" w:rsidP="00E87940">
      <w:pPr>
        <w:adjustRightInd w:val="0"/>
        <w:snapToGrid w:val="0"/>
        <w:ind w:firstLineChars="50" w:firstLine="105"/>
        <w:rPr>
          <w:rFonts w:ascii="宋体" w:hAnsi="宋体"/>
          <w:snapToGrid w:val="0"/>
          <w:kern w:val="0"/>
          <w:szCs w:val="21"/>
        </w:rPr>
      </w:pPr>
      <w:r w:rsidRPr="00233849">
        <w:rPr>
          <w:rFonts w:ascii="宋体" w:hAnsi="宋体" w:hint="eastAsia"/>
          <w:snapToGrid w:val="0"/>
          <w:kern w:val="0"/>
          <w:szCs w:val="21"/>
        </w:rPr>
        <w:t>目前常用的有效短程初治化疗方案为异烟肼、利福平、乙胺丁醇、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吡嗪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酰胺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四联抗结核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用药，其中异烟肼、利福平、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吡嗪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酰胺均有肝损害的不良反应。据文献报道，使用含异烟肼、利福平、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吡嗪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酰胺的治疗方案时药物性肝炎的发生率可高达17.2%-25.0%，少数可发生重症肝炎以致死亡。而其致病机制考虑是通过改变肝细胞的物理和化学特性，抑制细胞膜上Na+ - K+ - ATP 酶活性，干扰肝细胞的摄取过程，破坏细胞骨架功能，在胆汁中形成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不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可溶性的复合物等途径导致肝损伤，也可选择性地破坏细胞成分，间接地引起肝损伤，引起肝细胞变性、坏死或肝内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瘀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胆或同时存在。</w:t>
      </w:r>
    </w:p>
    <w:p w:rsidR="00E87940" w:rsidRPr="00233849" w:rsidRDefault="00E87940" w:rsidP="00E87940">
      <w:pPr>
        <w:adjustRightInd w:val="0"/>
        <w:snapToGrid w:val="0"/>
        <w:ind w:firstLineChars="50" w:firstLine="105"/>
        <w:rPr>
          <w:rFonts w:ascii="宋体" w:hAnsi="宋体"/>
          <w:snapToGrid w:val="0"/>
          <w:kern w:val="0"/>
          <w:szCs w:val="21"/>
        </w:rPr>
      </w:pPr>
      <w:r w:rsidRPr="00233849">
        <w:rPr>
          <w:rFonts w:ascii="宋体" w:hAnsi="宋体" w:hint="eastAsia"/>
          <w:snapToGrid w:val="0"/>
          <w:kern w:val="0"/>
          <w:szCs w:val="21"/>
        </w:rPr>
        <w:t>异甘草酸镁是第四代甘草酸制剂，为单一的18- a 异构体甘草酸，是一种多功能的肝细胞保护剂，它能全面干预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一相酶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CYP、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二相酶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GSH、脂质过氧化及肝细胞受损等四个环节，而全面干预这四个环节是目前药物性肝炎治疗的趋势；异甘草酸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镁具有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稳定细胞膜、抗炎、调节免疫、抗生物氧化、解毒、抗肝脏毒物、抗肝纤维化、抑制Ca2+ 内流防止细胞凋亡等作用，从多环节保护肝细胞功能。由于甘草酸制剂可引起假性醛固酮症，如低血钾、血压升高、水钠潴留、浮肿等不良反应，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但异甘草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酸镁在临床使用中无上述不良反应发生，若长期大量使用还有待进一步观察。</w:t>
      </w:r>
    </w:p>
    <w:p w:rsidR="00E87940" w:rsidRPr="00E87940" w:rsidRDefault="00E87940" w:rsidP="00E87940">
      <w:pPr>
        <w:adjustRightInd w:val="0"/>
        <w:snapToGrid w:val="0"/>
        <w:ind w:firstLineChars="50" w:firstLine="105"/>
        <w:rPr>
          <w:rFonts w:hAnsi="宋体"/>
          <w:kern w:val="0"/>
        </w:rPr>
      </w:pPr>
      <w:r w:rsidRPr="00233849">
        <w:rPr>
          <w:rFonts w:ascii="宋体" w:hAnsi="宋体" w:hint="eastAsia"/>
          <w:snapToGrid w:val="0"/>
          <w:kern w:val="0"/>
          <w:szCs w:val="21"/>
        </w:rPr>
        <w:t>本组观察显示，异甘草酸镁可显著降低抗结核药物引起的肝损害，未见明显不良反应， 用药安全。对于抗结核药物引起的肝损害，可不停用所有抗结核药物，在护肝治疗的同时制定合理的个体化抗结核治疗方案，如使用</w:t>
      </w:r>
      <w:proofErr w:type="gramStart"/>
      <w:r w:rsidRPr="00233849">
        <w:rPr>
          <w:rFonts w:ascii="宋体" w:hAnsi="宋体" w:hint="eastAsia"/>
          <w:snapToGrid w:val="0"/>
          <w:kern w:val="0"/>
          <w:szCs w:val="21"/>
        </w:rPr>
        <w:t>喹</w:t>
      </w:r>
      <w:proofErr w:type="gramEnd"/>
      <w:r w:rsidRPr="00233849">
        <w:rPr>
          <w:rFonts w:ascii="宋体" w:hAnsi="宋体" w:hint="eastAsia"/>
          <w:snapToGrid w:val="0"/>
          <w:kern w:val="0"/>
          <w:szCs w:val="21"/>
        </w:rPr>
        <w:t>诺酮类、氨基糖苷类等， 以减少对肝脏的损害，使化疗能够顺利进行到疗程结束。由于药物性肝炎起病多隐匿，临床症状较轻，临床医师容易疏忽，发现迟而导致肝损害进行性加重，少数出现重症肝炎而死亡，故定期监测肝功能是非常必需的</w:t>
      </w:r>
      <w:r w:rsidRPr="00F003B8">
        <w:rPr>
          <w:rFonts w:hAnsi="宋体" w:hint="eastAsia"/>
          <w:kern w:val="0"/>
        </w:rPr>
        <w:t>。</w:t>
      </w:r>
    </w:p>
    <w:p w:rsidR="00E87940" w:rsidRDefault="00E87940">
      <w:pPr>
        <w:rPr>
          <w:color w:val="FF0000"/>
        </w:rPr>
      </w:pPr>
    </w:p>
    <w:p w:rsidR="00E87940" w:rsidRDefault="00E87940">
      <w:r w:rsidRPr="00E87940">
        <w:rPr>
          <w:rFonts w:hint="eastAsia"/>
          <w:color w:val="FF0000"/>
        </w:rPr>
        <w:t>答</w:t>
      </w:r>
      <w:r>
        <w:rPr>
          <w:rFonts w:hint="eastAsia"/>
        </w:rPr>
        <w:t>：</w:t>
      </w:r>
    </w:p>
    <w:p w:rsidR="00E87940" w:rsidRDefault="00E87940"/>
    <w:p w:rsidR="00E648A9" w:rsidRDefault="00E648A9"/>
    <w:p w:rsidR="00E648A9" w:rsidRDefault="00E648A9"/>
    <w:p w:rsidR="00E648A9" w:rsidRPr="00E648A9" w:rsidRDefault="00E648A9" w:rsidP="00E648A9"/>
    <w:sectPr w:rsidR="00E648A9" w:rsidRPr="00E648A9" w:rsidSect="00437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001" w:rsidRDefault="00726001" w:rsidP="00E87940">
      <w:r>
        <w:separator/>
      </w:r>
    </w:p>
  </w:endnote>
  <w:endnote w:type="continuationSeparator" w:id="0">
    <w:p w:rsidR="00726001" w:rsidRDefault="00726001" w:rsidP="00E8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001" w:rsidRDefault="00726001" w:rsidP="00E87940">
      <w:r>
        <w:separator/>
      </w:r>
    </w:p>
  </w:footnote>
  <w:footnote w:type="continuationSeparator" w:id="0">
    <w:p w:rsidR="00726001" w:rsidRDefault="00726001" w:rsidP="00E87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D57A0"/>
    <w:multiLevelType w:val="hybridMultilevel"/>
    <w:tmpl w:val="5E36C606"/>
    <w:lvl w:ilvl="0" w:tplc="48FA0252">
      <w:start w:val="1"/>
      <w:numFmt w:val="decimal"/>
      <w:lvlText w:val="（%1）"/>
      <w:lvlJc w:val="left"/>
      <w:pPr>
        <w:tabs>
          <w:tab w:val="num" w:pos="0"/>
        </w:tabs>
        <w:ind w:left="71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D9B66ED"/>
    <w:multiLevelType w:val="hybridMultilevel"/>
    <w:tmpl w:val="D96A6D7C"/>
    <w:lvl w:ilvl="0" w:tplc="F9CEE442">
      <w:start w:val="1"/>
      <w:numFmt w:val="decimal"/>
      <w:lvlText w:val="（%1）"/>
      <w:lvlJc w:val="left"/>
      <w:pPr>
        <w:tabs>
          <w:tab w:val="num" w:pos="420"/>
        </w:tabs>
        <w:ind w:left="11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7940"/>
    <w:rsid w:val="00065FA3"/>
    <w:rsid w:val="00267CEC"/>
    <w:rsid w:val="003B7501"/>
    <w:rsid w:val="00437932"/>
    <w:rsid w:val="006524C3"/>
    <w:rsid w:val="00726001"/>
    <w:rsid w:val="007D395F"/>
    <w:rsid w:val="00C82775"/>
    <w:rsid w:val="00E648A9"/>
    <w:rsid w:val="00E87940"/>
    <w:rsid w:val="00F0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94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7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79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7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7940"/>
    <w:rPr>
      <w:sz w:val="18"/>
      <w:szCs w:val="18"/>
    </w:rPr>
  </w:style>
  <w:style w:type="paragraph" w:styleId="a5">
    <w:name w:val="List Paragraph"/>
    <w:basedOn w:val="a"/>
    <w:uiPriority w:val="34"/>
    <w:qFormat/>
    <w:rsid w:val="00E648A9"/>
    <w:pPr>
      <w:ind w:firstLineChars="200" w:firstLine="420"/>
    </w:pPr>
  </w:style>
  <w:style w:type="paragraph" w:styleId="a6">
    <w:name w:val="Plain Text"/>
    <w:basedOn w:val="a"/>
    <w:link w:val="Char1"/>
    <w:rsid w:val="00E648A9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E648A9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蒋艳</dc:creator>
  <cp:keywords/>
  <dc:description/>
  <cp:lastModifiedBy>admin</cp:lastModifiedBy>
  <cp:revision>7</cp:revision>
  <dcterms:created xsi:type="dcterms:W3CDTF">2020-04-13T00:36:00Z</dcterms:created>
  <dcterms:modified xsi:type="dcterms:W3CDTF">2022-03-24T06:51:00Z</dcterms:modified>
</cp:coreProperties>
</file>