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940" w:rsidRPr="000472D2" w:rsidRDefault="00E87940" w:rsidP="00E87940">
      <w:pPr>
        <w:adjustRightInd w:val="0"/>
        <w:snapToGrid w:val="0"/>
        <w:spacing w:line="400" w:lineRule="exact"/>
        <w:jc w:val="center"/>
        <w:rPr>
          <w:rFonts w:ascii="宋体" w:hAnsi="宋体"/>
          <w:b/>
          <w:snapToGrid w:val="0"/>
          <w:kern w:val="0"/>
          <w:sz w:val="30"/>
          <w:szCs w:val="30"/>
        </w:rPr>
      </w:pPr>
      <w:r w:rsidRPr="000472D2">
        <w:rPr>
          <w:rFonts w:ascii="宋体" w:hAnsi="宋体" w:hint="eastAsia"/>
          <w:b/>
          <w:snapToGrid w:val="0"/>
          <w:kern w:val="0"/>
          <w:sz w:val="30"/>
          <w:szCs w:val="30"/>
        </w:rPr>
        <w:t>《科研设计与论文书写》</w:t>
      </w:r>
      <w:r w:rsidR="00EB0A78">
        <w:rPr>
          <w:rFonts w:ascii="宋体" w:hAnsi="宋体" w:hint="eastAsia"/>
          <w:b/>
          <w:snapToGrid w:val="0"/>
          <w:kern w:val="0"/>
          <w:sz w:val="30"/>
          <w:szCs w:val="30"/>
        </w:rPr>
        <w:t>参考答案</w:t>
      </w:r>
    </w:p>
    <w:p w:rsidR="00E87940" w:rsidRPr="00E87940" w:rsidRDefault="00E87940" w:rsidP="00E87940">
      <w:pPr>
        <w:rPr>
          <w:b/>
          <w:bCs/>
        </w:rPr>
      </w:pPr>
      <w:r w:rsidRPr="00E87940">
        <w:rPr>
          <w:rFonts w:hint="eastAsia"/>
          <w:b/>
          <w:bCs/>
        </w:rPr>
        <w:t>一．问答题</w:t>
      </w:r>
      <w:r w:rsidR="003B7501">
        <w:rPr>
          <w:rFonts w:hint="eastAsia"/>
          <w:b/>
          <w:bCs/>
        </w:rPr>
        <w:t>（</w:t>
      </w:r>
      <w:r w:rsidR="003B7501">
        <w:rPr>
          <w:rFonts w:hint="eastAsia"/>
          <w:b/>
          <w:bCs/>
        </w:rPr>
        <w:t>54</w:t>
      </w:r>
      <w:r w:rsidR="003B7501">
        <w:rPr>
          <w:rFonts w:hint="eastAsia"/>
          <w:b/>
          <w:bCs/>
        </w:rPr>
        <w:t>分）</w:t>
      </w:r>
    </w:p>
    <w:p w:rsidR="00E87940" w:rsidRPr="00E87940" w:rsidRDefault="00E87940" w:rsidP="00E87940">
      <w:pPr>
        <w:rPr>
          <w:b/>
          <w:bCs/>
        </w:rPr>
      </w:pPr>
      <w:r>
        <w:rPr>
          <w:rFonts w:hint="eastAsia"/>
          <w:b/>
          <w:bCs/>
        </w:rPr>
        <w:t>1.</w:t>
      </w:r>
      <w:r w:rsidRPr="00E87940">
        <w:rPr>
          <w:b/>
          <w:bCs/>
        </w:rPr>
        <w:t>Meta-</w:t>
      </w:r>
      <w:r w:rsidRPr="00E87940">
        <w:rPr>
          <w:rFonts w:hint="eastAsia"/>
          <w:b/>
          <w:bCs/>
        </w:rPr>
        <w:t>分析的步骤有哪些？（</w:t>
      </w:r>
      <w:r>
        <w:rPr>
          <w:rFonts w:hint="eastAsia"/>
          <w:b/>
          <w:bCs/>
        </w:rPr>
        <w:t>1</w:t>
      </w:r>
      <w:r w:rsidR="00E648A9">
        <w:rPr>
          <w:rFonts w:hint="eastAsia"/>
          <w:b/>
          <w:bCs/>
        </w:rPr>
        <w:t>2</w:t>
      </w:r>
      <w:r w:rsidRPr="00E87940">
        <w:rPr>
          <w:rFonts w:hint="eastAsia"/>
          <w:b/>
          <w:bCs/>
        </w:rPr>
        <w:t>分）</w:t>
      </w:r>
    </w:p>
    <w:p w:rsidR="00E87940" w:rsidRPr="00E87940" w:rsidRDefault="00E87940" w:rsidP="00E87940">
      <w:pPr>
        <w:adjustRightInd w:val="0"/>
        <w:snapToGrid w:val="0"/>
        <w:rPr>
          <w:rFonts w:ascii="宋体" w:hAnsi="宋体"/>
          <w:b/>
          <w:snapToGrid w:val="0"/>
          <w:kern w:val="0"/>
          <w:szCs w:val="21"/>
        </w:rPr>
      </w:pPr>
      <w:r w:rsidRPr="00E87940">
        <w:rPr>
          <w:rFonts w:ascii="宋体" w:hAnsi="宋体" w:hint="eastAsia"/>
          <w:snapToGrid w:val="0"/>
          <w:color w:val="FF0000"/>
          <w:kern w:val="0"/>
          <w:szCs w:val="21"/>
        </w:rPr>
        <w:t>答</w:t>
      </w:r>
      <w:r w:rsidRPr="00E87940">
        <w:rPr>
          <w:rFonts w:ascii="宋体" w:hAnsi="宋体" w:hint="eastAsia"/>
          <w:snapToGrid w:val="0"/>
          <w:kern w:val="0"/>
          <w:szCs w:val="21"/>
        </w:rPr>
        <w:t>：</w:t>
      </w:r>
    </w:p>
    <w:p w:rsidR="00E87940" w:rsidRDefault="00E87940" w:rsidP="00E87940">
      <w:pPr>
        <w:adjustRightInd w:val="0"/>
        <w:snapToGrid w:val="0"/>
        <w:rPr>
          <w:rFonts w:ascii="宋体" w:hAnsi="宋体"/>
          <w:b/>
          <w:snapToGrid w:val="0"/>
          <w:kern w:val="0"/>
          <w:szCs w:val="21"/>
        </w:rPr>
      </w:pPr>
    </w:p>
    <w:p w:rsidR="00E87940" w:rsidRDefault="00E87940" w:rsidP="00E87940">
      <w:pPr>
        <w:adjustRightInd w:val="0"/>
        <w:snapToGrid w:val="0"/>
        <w:rPr>
          <w:rFonts w:ascii="宋体" w:hAnsi="宋体"/>
          <w:b/>
          <w:snapToGrid w:val="0"/>
          <w:kern w:val="0"/>
          <w:szCs w:val="21"/>
        </w:rPr>
      </w:pPr>
      <w:bookmarkStart w:id="0" w:name="_GoBack"/>
      <w:bookmarkEnd w:id="0"/>
    </w:p>
    <w:p w:rsidR="00E87940" w:rsidRDefault="00E87940" w:rsidP="00E87940">
      <w:pPr>
        <w:adjustRightInd w:val="0"/>
        <w:snapToGrid w:val="0"/>
        <w:rPr>
          <w:rFonts w:ascii="宋体" w:hAnsi="宋体"/>
          <w:b/>
          <w:snapToGrid w:val="0"/>
          <w:kern w:val="0"/>
          <w:szCs w:val="21"/>
        </w:rPr>
      </w:pPr>
    </w:p>
    <w:p w:rsidR="00E87940" w:rsidRDefault="00E87940" w:rsidP="00E87940">
      <w:pPr>
        <w:adjustRightInd w:val="0"/>
        <w:snapToGrid w:val="0"/>
        <w:rPr>
          <w:rFonts w:ascii="宋体" w:hAnsi="宋体"/>
          <w:b/>
          <w:snapToGrid w:val="0"/>
          <w:kern w:val="0"/>
          <w:szCs w:val="21"/>
        </w:rPr>
      </w:pPr>
    </w:p>
    <w:p w:rsidR="00E87940" w:rsidRDefault="00E87940" w:rsidP="00E87940">
      <w:pPr>
        <w:adjustRightInd w:val="0"/>
        <w:snapToGrid w:val="0"/>
        <w:rPr>
          <w:rFonts w:ascii="宋体" w:hAnsi="宋体"/>
          <w:b/>
          <w:snapToGrid w:val="0"/>
          <w:kern w:val="0"/>
          <w:szCs w:val="21"/>
        </w:rPr>
      </w:pPr>
    </w:p>
    <w:p w:rsidR="00E87940" w:rsidRPr="00E87940" w:rsidRDefault="00E87940" w:rsidP="00E87940">
      <w:pPr>
        <w:spacing w:line="276" w:lineRule="auto"/>
        <w:rPr>
          <w:rFonts w:ascii="宋体" w:hAnsi="宋体"/>
          <w:b/>
          <w:snapToGrid w:val="0"/>
          <w:kern w:val="0"/>
          <w:szCs w:val="21"/>
        </w:rPr>
      </w:pPr>
      <w:r w:rsidRPr="00E87940">
        <w:rPr>
          <w:rFonts w:hint="eastAsia"/>
          <w:b/>
        </w:rPr>
        <w:t>2.</w:t>
      </w:r>
      <w:r w:rsidRPr="00E87940">
        <w:rPr>
          <w:rFonts w:hint="eastAsia"/>
          <w:b/>
        </w:rPr>
        <w:t>科研</w:t>
      </w:r>
      <w:r w:rsidRPr="00E87940">
        <w:rPr>
          <w:b/>
        </w:rPr>
        <w:t>设计的基本原则有哪些，如何实施</w:t>
      </w:r>
      <w:r w:rsidRPr="00E87940">
        <w:rPr>
          <w:rFonts w:hint="eastAsia"/>
          <w:b/>
        </w:rPr>
        <w:t>？</w:t>
      </w:r>
      <w:r w:rsidRPr="00E87940">
        <w:rPr>
          <w:rFonts w:hint="eastAsia"/>
          <w:b/>
          <w:bCs/>
        </w:rPr>
        <w:t>（</w:t>
      </w:r>
      <w:r w:rsidR="00E648A9">
        <w:rPr>
          <w:rFonts w:hint="eastAsia"/>
          <w:b/>
          <w:bCs/>
        </w:rPr>
        <w:t>12</w:t>
      </w:r>
      <w:r w:rsidRPr="00E87940">
        <w:rPr>
          <w:rFonts w:hint="eastAsia"/>
          <w:b/>
          <w:bCs/>
        </w:rPr>
        <w:t>分）</w:t>
      </w:r>
    </w:p>
    <w:p w:rsidR="00E87940" w:rsidRPr="00E87940" w:rsidRDefault="00E87940" w:rsidP="00E87940">
      <w:pPr>
        <w:adjustRightInd w:val="0"/>
        <w:snapToGrid w:val="0"/>
        <w:rPr>
          <w:rFonts w:ascii="宋体" w:hAnsi="宋体"/>
          <w:snapToGrid w:val="0"/>
          <w:kern w:val="0"/>
          <w:szCs w:val="21"/>
        </w:rPr>
      </w:pPr>
      <w:r w:rsidRPr="00E87940">
        <w:rPr>
          <w:rFonts w:ascii="宋体" w:hAnsi="宋体" w:hint="eastAsia"/>
          <w:snapToGrid w:val="0"/>
          <w:color w:val="FF0000"/>
          <w:kern w:val="0"/>
          <w:szCs w:val="21"/>
        </w:rPr>
        <w:t>答</w:t>
      </w:r>
      <w:r w:rsidRPr="00E87940">
        <w:rPr>
          <w:rFonts w:ascii="宋体" w:hAnsi="宋体" w:hint="eastAsia"/>
          <w:snapToGrid w:val="0"/>
          <w:kern w:val="0"/>
          <w:szCs w:val="21"/>
        </w:rPr>
        <w:t>：</w:t>
      </w:r>
    </w:p>
    <w:p w:rsidR="00E87940" w:rsidRDefault="00E87940" w:rsidP="00E87940">
      <w:pPr>
        <w:adjustRightInd w:val="0"/>
        <w:snapToGrid w:val="0"/>
        <w:rPr>
          <w:rFonts w:ascii="宋体" w:hAnsi="宋体"/>
          <w:snapToGrid w:val="0"/>
          <w:kern w:val="0"/>
          <w:szCs w:val="21"/>
        </w:rPr>
      </w:pPr>
    </w:p>
    <w:p w:rsidR="00E87940" w:rsidRPr="00E87940" w:rsidRDefault="00E87940" w:rsidP="00E87940">
      <w:pPr>
        <w:adjustRightInd w:val="0"/>
        <w:snapToGrid w:val="0"/>
        <w:rPr>
          <w:rFonts w:ascii="宋体" w:hAnsi="宋体"/>
          <w:snapToGrid w:val="0"/>
          <w:kern w:val="0"/>
          <w:szCs w:val="21"/>
        </w:rPr>
      </w:pPr>
    </w:p>
    <w:p w:rsidR="00E87940" w:rsidRDefault="00E87940" w:rsidP="00E87940">
      <w:pPr>
        <w:adjustRightInd w:val="0"/>
        <w:snapToGrid w:val="0"/>
        <w:rPr>
          <w:rFonts w:ascii="宋体" w:hAnsi="宋体"/>
          <w:snapToGrid w:val="0"/>
          <w:kern w:val="0"/>
          <w:szCs w:val="21"/>
        </w:rPr>
      </w:pPr>
    </w:p>
    <w:p w:rsidR="00E87940" w:rsidRDefault="00E87940" w:rsidP="00E87940">
      <w:pPr>
        <w:adjustRightInd w:val="0"/>
        <w:snapToGrid w:val="0"/>
        <w:rPr>
          <w:rFonts w:ascii="宋体" w:hAnsi="宋体"/>
          <w:snapToGrid w:val="0"/>
          <w:kern w:val="0"/>
          <w:szCs w:val="21"/>
        </w:rPr>
      </w:pPr>
    </w:p>
    <w:p w:rsidR="00E87940" w:rsidRDefault="00E87940" w:rsidP="00E87940">
      <w:pPr>
        <w:adjustRightInd w:val="0"/>
        <w:snapToGrid w:val="0"/>
        <w:rPr>
          <w:rFonts w:ascii="宋体" w:hAnsi="宋体"/>
          <w:snapToGrid w:val="0"/>
          <w:kern w:val="0"/>
          <w:szCs w:val="21"/>
        </w:rPr>
      </w:pPr>
    </w:p>
    <w:p w:rsidR="00E87940" w:rsidRDefault="00E87940" w:rsidP="00E87940">
      <w:pPr>
        <w:adjustRightInd w:val="0"/>
        <w:snapToGrid w:val="0"/>
        <w:rPr>
          <w:rFonts w:ascii="宋体" w:hAnsi="宋体"/>
          <w:snapToGrid w:val="0"/>
          <w:kern w:val="0"/>
          <w:szCs w:val="21"/>
        </w:rPr>
      </w:pPr>
    </w:p>
    <w:p w:rsidR="00E87940" w:rsidRPr="00E648A9" w:rsidRDefault="00E648A9" w:rsidP="00E87940">
      <w:pPr>
        <w:adjustRightInd w:val="0"/>
        <w:snapToGrid w:val="0"/>
        <w:rPr>
          <w:rFonts w:ascii="宋体" w:hAnsi="宋体"/>
          <w:b/>
          <w:snapToGrid w:val="0"/>
          <w:kern w:val="0"/>
          <w:szCs w:val="21"/>
        </w:rPr>
      </w:pPr>
      <w:r>
        <w:rPr>
          <w:rFonts w:ascii="宋体" w:hAnsi="宋体" w:hint="eastAsia"/>
          <w:b/>
          <w:snapToGrid w:val="0"/>
          <w:kern w:val="0"/>
          <w:szCs w:val="21"/>
        </w:rPr>
        <w:t>3</w:t>
      </w:r>
      <w:r w:rsidRPr="00E648A9">
        <w:rPr>
          <w:rFonts w:ascii="宋体" w:hAnsi="宋体" w:hint="eastAsia"/>
          <w:b/>
          <w:snapToGrid w:val="0"/>
          <w:kern w:val="0"/>
          <w:szCs w:val="21"/>
        </w:rPr>
        <w:t>.简答提高申报项目中标率的对策？（</w:t>
      </w:r>
      <w:r>
        <w:rPr>
          <w:rFonts w:ascii="宋体" w:hAnsi="宋体" w:hint="eastAsia"/>
          <w:b/>
          <w:snapToGrid w:val="0"/>
          <w:kern w:val="0"/>
          <w:szCs w:val="21"/>
        </w:rPr>
        <w:t>15</w:t>
      </w:r>
      <w:r w:rsidRPr="00E648A9">
        <w:rPr>
          <w:rFonts w:ascii="宋体" w:hAnsi="宋体" w:hint="eastAsia"/>
          <w:b/>
          <w:snapToGrid w:val="0"/>
          <w:kern w:val="0"/>
          <w:szCs w:val="21"/>
        </w:rPr>
        <w:t>分）</w:t>
      </w:r>
    </w:p>
    <w:p w:rsidR="00E648A9" w:rsidRDefault="00E648A9" w:rsidP="00E648A9">
      <w:pPr>
        <w:adjustRightInd w:val="0"/>
        <w:snapToGrid w:val="0"/>
        <w:rPr>
          <w:rFonts w:ascii="宋体" w:hAnsi="宋体"/>
          <w:snapToGrid w:val="0"/>
          <w:kern w:val="0"/>
          <w:szCs w:val="21"/>
        </w:rPr>
      </w:pPr>
      <w:r w:rsidRPr="00E87940">
        <w:rPr>
          <w:rFonts w:ascii="宋体" w:hAnsi="宋体" w:hint="eastAsia"/>
          <w:snapToGrid w:val="0"/>
          <w:color w:val="FF0000"/>
          <w:kern w:val="0"/>
          <w:szCs w:val="21"/>
        </w:rPr>
        <w:t>答</w:t>
      </w:r>
      <w:r>
        <w:rPr>
          <w:rFonts w:ascii="宋体" w:hAnsi="宋体" w:hint="eastAsia"/>
          <w:snapToGrid w:val="0"/>
          <w:kern w:val="0"/>
          <w:szCs w:val="21"/>
        </w:rPr>
        <w:t>：</w:t>
      </w:r>
    </w:p>
    <w:p w:rsidR="00E87940" w:rsidRDefault="00E87940" w:rsidP="00E87940">
      <w:pPr>
        <w:adjustRightInd w:val="0"/>
        <w:snapToGrid w:val="0"/>
        <w:rPr>
          <w:rFonts w:ascii="宋体" w:hAnsi="宋体"/>
          <w:snapToGrid w:val="0"/>
          <w:kern w:val="0"/>
          <w:szCs w:val="21"/>
        </w:rPr>
      </w:pPr>
    </w:p>
    <w:p w:rsidR="00E87940" w:rsidRDefault="00E87940" w:rsidP="00E87940">
      <w:pPr>
        <w:adjustRightInd w:val="0"/>
        <w:snapToGrid w:val="0"/>
        <w:rPr>
          <w:rFonts w:ascii="宋体" w:hAnsi="宋体"/>
          <w:snapToGrid w:val="0"/>
          <w:kern w:val="0"/>
          <w:szCs w:val="21"/>
        </w:rPr>
      </w:pPr>
    </w:p>
    <w:p w:rsidR="00E648A9" w:rsidRDefault="00E648A9" w:rsidP="00E87940">
      <w:pPr>
        <w:adjustRightInd w:val="0"/>
        <w:snapToGrid w:val="0"/>
        <w:rPr>
          <w:rFonts w:ascii="宋体" w:hAnsi="宋体"/>
          <w:snapToGrid w:val="0"/>
          <w:kern w:val="0"/>
          <w:szCs w:val="21"/>
        </w:rPr>
      </w:pPr>
    </w:p>
    <w:p w:rsidR="00E648A9" w:rsidRDefault="00E648A9" w:rsidP="00E87940">
      <w:pPr>
        <w:adjustRightInd w:val="0"/>
        <w:snapToGrid w:val="0"/>
        <w:rPr>
          <w:rFonts w:ascii="宋体" w:hAnsi="宋体"/>
          <w:snapToGrid w:val="0"/>
          <w:kern w:val="0"/>
          <w:szCs w:val="21"/>
        </w:rPr>
      </w:pPr>
    </w:p>
    <w:p w:rsidR="00E648A9" w:rsidRDefault="00E648A9" w:rsidP="00E87940">
      <w:pPr>
        <w:adjustRightInd w:val="0"/>
        <w:snapToGrid w:val="0"/>
        <w:rPr>
          <w:rFonts w:ascii="宋体" w:hAnsi="宋体"/>
          <w:snapToGrid w:val="0"/>
          <w:kern w:val="0"/>
          <w:szCs w:val="21"/>
        </w:rPr>
      </w:pPr>
    </w:p>
    <w:p w:rsidR="00E648A9" w:rsidRDefault="00E648A9" w:rsidP="00E87940">
      <w:pPr>
        <w:adjustRightInd w:val="0"/>
        <w:snapToGrid w:val="0"/>
        <w:rPr>
          <w:rFonts w:ascii="宋体" w:hAnsi="宋体"/>
          <w:snapToGrid w:val="0"/>
          <w:kern w:val="0"/>
          <w:szCs w:val="21"/>
        </w:rPr>
      </w:pPr>
    </w:p>
    <w:p w:rsidR="00E648A9" w:rsidRPr="00E87940" w:rsidRDefault="00E648A9" w:rsidP="00E648A9">
      <w:pPr>
        <w:spacing w:line="276" w:lineRule="auto"/>
        <w:rPr>
          <w:b/>
        </w:rPr>
      </w:pPr>
      <w:r>
        <w:rPr>
          <w:rFonts w:hint="eastAsia"/>
          <w:b/>
        </w:rPr>
        <w:t>4</w:t>
      </w:r>
      <w:r w:rsidRPr="00E87940">
        <w:rPr>
          <w:rFonts w:hint="eastAsia"/>
          <w:b/>
        </w:rPr>
        <w:t>.</w:t>
      </w:r>
      <w:r w:rsidRPr="00E87940">
        <w:rPr>
          <w:rFonts w:hint="eastAsia"/>
          <w:b/>
        </w:rPr>
        <w:t>论述偏倚的类型及其控制方法。（</w:t>
      </w:r>
      <w:r>
        <w:rPr>
          <w:rFonts w:hint="eastAsia"/>
          <w:b/>
        </w:rPr>
        <w:t>15</w:t>
      </w:r>
      <w:r w:rsidRPr="00E87940">
        <w:rPr>
          <w:rFonts w:hint="eastAsia"/>
          <w:b/>
        </w:rPr>
        <w:t>分）</w:t>
      </w:r>
    </w:p>
    <w:p w:rsidR="00E648A9" w:rsidRDefault="00E648A9" w:rsidP="00E648A9">
      <w:pPr>
        <w:adjustRightInd w:val="0"/>
        <w:snapToGrid w:val="0"/>
        <w:rPr>
          <w:rFonts w:ascii="宋体" w:hAnsi="宋体"/>
          <w:snapToGrid w:val="0"/>
          <w:kern w:val="0"/>
          <w:szCs w:val="21"/>
        </w:rPr>
      </w:pPr>
      <w:r w:rsidRPr="00E87940">
        <w:rPr>
          <w:rFonts w:ascii="宋体" w:hAnsi="宋体" w:hint="eastAsia"/>
          <w:snapToGrid w:val="0"/>
          <w:color w:val="FF0000"/>
          <w:kern w:val="0"/>
          <w:szCs w:val="21"/>
        </w:rPr>
        <w:t>答</w:t>
      </w:r>
      <w:r>
        <w:rPr>
          <w:rFonts w:ascii="宋体" w:hAnsi="宋体" w:hint="eastAsia"/>
          <w:snapToGrid w:val="0"/>
          <w:kern w:val="0"/>
          <w:szCs w:val="21"/>
        </w:rPr>
        <w:t>：</w:t>
      </w:r>
    </w:p>
    <w:p w:rsidR="00E648A9" w:rsidRDefault="00E648A9" w:rsidP="00E87940">
      <w:pPr>
        <w:adjustRightInd w:val="0"/>
        <w:snapToGrid w:val="0"/>
        <w:rPr>
          <w:rFonts w:ascii="宋体" w:hAnsi="宋体"/>
          <w:snapToGrid w:val="0"/>
          <w:kern w:val="0"/>
          <w:szCs w:val="21"/>
        </w:rPr>
      </w:pPr>
    </w:p>
    <w:p w:rsidR="00E87940" w:rsidRDefault="00E87940" w:rsidP="00E87940">
      <w:pPr>
        <w:adjustRightInd w:val="0"/>
        <w:snapToGrid w:val="0"/>
        <w:rPr>
          <w:rFonts w:ascii="宋体" w:hAnsi="宋体"/>
          <w:snapToGrid w:val="0"/>
          <w:kern w:val="0"/>
          <w:szCs w:val="21"/>
        </w:rPr>
      </w:pPr>
    </w:p>
    <w:p w:rsidR="00E648A9" w:rsidRDefault="00E648A9" w:rsidP="00E87940">
      <w:pPr>
        <w:adjustRightInd w:val="0"/>
        <w:snapToGrid w:val="0"/>
        <w:rPr>
          <w:rFonts w:ascii="宋体" w:hAnsi="宋体"/>
          <w:snapToGrid w:val="0"/>
          <w:kern w:val="0"/>
          <w:szCs w:val="21"/>
        </w:rPr>
      </w:pPr>
    </w:p>
    <w:p w:rsidR="00E648A9" w:rsidRPr="00E87940" w:rsidRDefault="00E648A9" w:rsidP="00E87940">
      <w:pPr>
        <w:adjustRightInd w:val="0"/>
        <w:snapToGrid w:val="0"/>
        <w:rPr>
          <w:rFonts w:ascii="宋体" w:hAnsi="宋体"/>
          <w:snapToGrid w:val="0"/>
          <w:kern w:val="0"/>
          <w:szCs w:val="21"/>
        </w:rPr>
      </w:pPr>
    </w:p>
    <w:p w:rsidR="00E87940" w:rsidRPr="00233849" w:rsidRDefault="00E87940" w:rsidP="00E87940">
      <w:pPr>
        <w:adjustRightInd w:val="0"/>
        <w:snapToGrid w:val="0"/>
        <w:rPr>
          <w:rFonts w:ascii="宋体" w:hAnsi="宋体"/>
          <w:b/>
          <w:snapToGrid w:val="0"/>
          <w:kern w:val="0"/>
          <w:szCs w:val="21"/>
        </w:rPr>
      </w:pPr>
      <w:r>
        <w:rPr>
          <w:rFonts w:ascii="宋体" w:hAnsi="宋体" w:hint="eastAsia"/>
          <w:b/>
          <w:snapToGrid w:val="0"/>
          <w:kern w:val="0"/>
          <w:szCs w:val="21"/>
        </w:rPr>
        <w:t>二</w:t>
      </w:r>
      <w:r w:rsidRPr="00233849">
        <w:rPr>
          <w:rFonts w:ascii="宋体" w:hAnsi="宋体" w:hint="eastAsia"/>
          <w:b/>
          <w:snapToGrid w:val="0"/>
          <w:kern w:val="0"/>
          <w:szCs w:val="21"/>
        </w:rPr>
        <w:t>、综合题</w:t>
      </w:r>
      <w:r w:rsidRPr="00233849">
        <w:rPr>
          <w:rFonts w:ascii="宋体" w:hAnsi="宋体"/>
          <w:b/>
          <w:snapToGrid w:val="0"/>
          <w:kern w:val="0"/>
          <w:szCs w:val="21"/>
        </w:rPr>
        <w:t>(</w:t>
      </w:r>
      <w:r w:rsidR="00E648A9">
        <w:rPr>
          <w:rFonts w:ascii="宋体" w:hAnsi="宋体" w:hint="eastAsia"/>
          <w:b/>
          <w:snapToGrid w:val="0"/>
          <w:kern w:val="0"/>
          <w:szCs w:val="21"/>
        </w:rPr>
        <w:t>46</w:t>
      </w:r>
      <w:r w:rsidRPr="00233849">
        <w:rPr>
          <w:rFonts w:ascii="宋体" w:hAnsi="宋体" w:hint="eastAsia"/>
          <w:b/>
          <w:snapToGrid w:val="0"/>
          <w:kern w:val="0"/>
          <w:szCs w:val="21"/>
        </w:rPr>
        <w:t>分</w:t>
      </w:r>
      <w:r w:rsidRPr="00233849">
        <w:rPr>
          <w:rFonts w:ascii="宋体" w:hAnsi="宋体"/>
          <w:b/>
          <w:snapToGrid w:val="0"/>
          <w:kern w:val="0"/>
          <w:szCs w:val="21"/>
        </w:rPr>
        <w:t>)</w:t>
      </w:r>
    </w:p>
    <w:p w:rsidR="00E87940" w:rsidRPr="00C54DC2" w:rsidRDefault="00E87940" w:rsidP="00E87940">
      <w:pPr>
        <w:adjustRightInd w:val="0"/>
        <w:snapToGrid w:val="0"/>
        <w:rPr>
          <w:rFonts w:ascii="宋体" w:hAnsi="宋体"/>
          <w:snapToGrid w:val="0"/>
          <w:kern w:val="0"/>
          <w:szCs w:val="21"/>
        </w:rPr>
      </w:pPr>
      <w:r w:rsidRPr="00C54DC2">
        <w:rPr>
          <w:rFonts w:ascii="宋体" w:hAnsi="宋体" w:hint="eastAsia"/>
          <w:snapToGrid w:val="0"/>
          <w:kern w:val="0"/>
          <w:szCs w:val="21"/>
        </w:rPr>
        <w:t>请根据以下医学论文中给出的材料信息。</w:t>
      </w:r>
    </w:p>
    <w:p w:rsidR="00E87940" w:rsidRPr="00E87940" w:rsidRDefault="00E87940" w:rsidP="00E87940">
      <w:pPr>
        <w:adjustRightInd w:val="0"/>
        <w:snapToGrid w:val="0"/>
        <w:rPr>
          <w:rFonts w:ascii="宋体" w:hAnsi="宋体"/>
          <w:b/>
          <w:snapToGrid w:val="0"/>
          <w:kern w:val="0"/>
          <w:szCs w:val="21"/>
        </w:rPr>
      </w:pPr>
      <w:r w:rsidRPr="00E87940">
        <w:rPr>
          <w:rFonts w:ascii="宋体" w:hAnsi="宋体" w:hint="eastAsia"/>
          <w:b/>
          <w:snapToGrid w:val="0"/>
          <w:kern w:val="0"/>
          <w:szCs w:val="21"/>
        </w:rPr>
        <w:t>1、写出该论文的结构式摘要（目的、方法、结果、结论）？</w:t>
      </w:r>
    </w:p>
    <w:p w:rsidR="00E87940" w:rsidRPr="00E87940" w:rsidRDefault="00E87940" w:rsidP="00E87940">
      <w:pPr>
        <w:adjustRightInd w:val="0"/>
        <w:snapToGrid w:val="0"/>
        <w:rPr>
          <w:rFonts w:ascii="宋体" w:hAnsi="宋体"/>
          <w:b/>
          <w:snapToGrid w:val="0"/>
          <w:kern w:val="0"/>
          <w:szCs w:val="21"/>
        </w:rPr>
      </w:pPr>
      <w:r w:rsidRPr="00E87940">
        <w:rPr>
          <w:rFonts w:ascii="宋体" w:hAnsi="宋体" w:hint="eastAsia"/>
          <w:b/>
          <w:snapToGrid w:val="0"/>
          <w:kern w:val="0"/>
          <w:szCs w:val="21"/>
        </w:rPr>
        <w:t>2、写出关键词？</w:t>
      </w:r>
    </w:p>
    <w:p w:rsidR="00E87940" w:rsidRPr="00C54DC2" w:rsidRDefault="00E87940" w:rsidP="00E87940">
      <w:pPr>
        <w:adjustRightInd w:val="0"/>
        <w:snapToGrid w:val="0"/>
        <w:rPr>
          <w:rFonts w:ascii="宋体" w:hAnsi="宋体"/>
          <w:snapToGrid w:val="0"/>
          <w:kern w:val="0"/>
          <w:szCs w:val="21"/>
        </w:rPr>
      </w:pPr>
    </w:p>
    <w:p w:rsidR="00E87940" w:rsidRPr="00C54DC2" w:rsidRDefault="00E87940" w:rsidP="00E87940">
      <w:pPr>
        <w:adjustRightInd w:val="0"/>
        <w:snapToGrid w:val="0"/>
        <w:ind w:firstLineChars="50" w:firstLine="105"/>
        <w:rPr>
          <w:rFonts w:ascii="宋体" w:hAnsi="宋体"/>
          <w:snapToGrid w:val="0"/>
          <w:kern w:val="0"/>
          <w:szCs w:val="21"/>
        </w:rPr>
      </w:pPr>
      <w:r w:rsidRPr="00C54DC2">
        <w:rPr>
          <w:rFonts w:ascii="宋体" w:hAnsi="宋体" w:hint="eastAsia"/>
          <w:snapToGrid w:val="0"/>
          <w:kern w:val="0"/>
          <w:szCs w:val="21"/>
        </w:rPr>
        <w:t>临床抗结核治疗中, 常多种抗结核药物联合使用和疗程长, 而多种抗结核药物有不同程度的肝脏毒性, 故常发生肝功能损害而影响化疗的进行。近年来, 我院使用异甘草酸镁治疗抗结核药引起的药物性肝炎, 患者肝功能恢复快, 且不良反应少, 现报告如下。</w:t>
      </w:r>
    </w:p>
    <w:p w:rsidR="00E87940" w:rsidRPr="00C156CE" w:rsidRDefault="00E87940" w:rsidP="00E87940">
      <w:pPr>
        <w:adjustRightInd w:val="0"/>
        <w:snapToGrid w:val="0"/>
        <w:ind w:firstLineChars="50" w:firstLine="105"/>
        <w:rPr>
          <w:rFonts w:ascii="宋体" w:hAnsi="宋体"/>
          <w:b/>
          <w:snapToGrid w:val="0"/>
          <w:kern w:val="0"/>
          <w:szCs w:val="21"/>
        </w:rPr>
      </w:pPr>
      <w:r w:rsidRPr="00C156CE">
        <w:rPr>
          <w:rFonts w:ascii="宋体" w:hAnsi="宋体" w:hint="eastAsia"/>
          <w:b/>
          <w:snapToGrid w:val="0"/>
          <w:kern w:val="0"/>
          <w:szCs w:val="21"/>
        </w:rPr>
        <w:t>资料与方法</w:t>
      </w:r>
      <w:r>
        <w:rPr>
          <w:rFonts w:ascii="宋体" w:hAnsi="宋体" w:hint="eastAsia"/>
          <w:b/>
          <w:snapToGrid w:val="0"/>
          <w:kern w:val="0"/>
          <w:szCs w:val="21"/>
        </w:rPr>
        <w:t>：</w:t>
      </w:r>
    </w:p>
    <w:p w:rsidR="00E87940" w:rsidRPr="00C54DC2" w:rsidRDefault="00E87940" w:rsidP="00E87940">
      <w:pPr>
        <w:adjustRightInd w:val="0"/>
        <w:snapToGrid w:val="0"/>
        <w:rPr>
          <w:rFonts w:ascii="宋体" w:hAnsi="宋体"/>
          <w:snapToGrid w:val="0"/>
          <w:kern w:val="0"/>
          <w:szCs w:val="21"/>
        </w:rPr>
      </w:pPr>
      <w:r w:rsidRPr="00C54DC2">
        <w:rPr>
          <w:rFonts w:ascii="宋体" w:hAnsi="宋体" w:hint="eastAsia"/>
          <w:snapToGrid w:val="0"/>
          <w:kern w:val="0"/>
          <w:szCs w:val="21"/>
        </w:rPr>
        <w:t xml:space="preserve">    2007年6月至2009年3月治疗肺结核过程中，因应用抗结核药物导致肝功能损害的住院患者74例，均符合中华医学会结核病学分会《结核病诊断和治疗指南》中肺结核病诊断标准，其中男48例，女26 例；年龄20-65 岁，平均39.4岁。均接受异烟肼、利福平、乙胺丁醇、吡嗪酰胺四联抗结核治疗。治疗前肝功能均正常, 乙型及丙型病毒性肝炎的血清学标志物均阴性,彩色B 超检查排除肝脏结核,治疗期间未合并使用其他肝损药物。两组患者在性别、年龄、发病原因、辅助检查、基础治疗等方面均无显著差异,具有可比性。</w:t>
      </w:r>
    </w:p>
    <w:p w:rsidR="00E87940" w:rsidRPr="00C54DC2" w:rsidRDefault="00E87940" w:rsidP="00E87940">
      <w:pPr>
        <w:adjustRightInd w:val="0"/>
        <w:snapToGrid w:val="0"/>
        <w:ind w:firstLineChars="50" w:firstLine="105"/>
        <w:rPr>
          <w:rFonts w:ascii="宋体" w:hAnsi="宋体"/>
          <w:snapToGrid w:val="0"/>
          <w:kern w:val="0"/>
          <w:szCs w:val="21"/>
        </w:rPr>
      </w:pPr>
      <w:r w:rsidRPr="00C54DC2">
        <w:rPr>
          <w:rFonts w:ascii="宋体" w:hAnsi="宋体" w:hint="eastAsia"/>
          <w:snapToGrid w:val="0"/>
          <w:kern w:val="0"/>
          <w:szCs w:val="21"/>
        </w:rPr>
        <w:t>治疗方法: 随机将患者分为两组,两组均先停用抗结核药物, 对照组36例予以还原型谷胱甘肽(古拉定) 1200mg加入5%葡萄糖溶液250ml中静滴，每日1次，治疗2周；治疗组38 例予以异甘草酸镁注射液(天晴甘美) 100mg 加入5% 葡萄糖溶液250ml中静脉滴注, 每日1</w:t>
      </w:r>
      <w:r w:rsidRPr="00C54DC2">
        <w:rPr>
          <w:rFonts w:ascii="宋体" w:hAnsi="宋体" w:hint="eastAsia"/>
          <w:snapToGrid w:val="0"/>
          <w:kern w:val="0"/>
          <w:szCs w:val="21"/>
        </w:rPr>
        <w:lastRenderedPageBreak/>
        <w:t>次, 治疗2周。后再次行抗结核治疗, 抗结核方案均调整为异烟肼、利福平、乙胺丁醇、左氧氟沙星四联, 同时治疗组及对照组均继续各自护肝用药, 疗程2周。</w:t>
      </w:r>
    </w:p>
    <w:p w:rsidR="00E87940" w:rsidRPr="00C54DC2" w:rsidRDefault="00E87940" w:rsidP="00E87940">
      <w:pPr>
        <w:adjustRightInd w:val="0"/>
        <w:snapToGrid w:val="0"/>
        <w:ind w:firstLineChars="50" w:firstLine="105"/>
        <w:rPr>
          <w:rFonts w:ascii="宋体" w:hAnsi="宋体"/>
          <w:snapToGrid w:val="0"/>
          <w:kern w:val="0"/>
          <w:szCs w:val="21"/>
        </w:rPr>
      </w:pPr>
      <w:r w:rsidRPr="00C54DC2">
        <w:rPr>
          <w:rFonts w:ascii="宋体" w:hAnsi="宋体" w:hint="eastAsia"/>
          <w:snapToGrid w:val="0"/>
          <w:kern w:val="0"/>
          <w:szCs w:val="21"/>
        </w:rPr>
        <w:t>观察项目: 常规检测患者用药前、2周后、4周后的血生化指标并记录药物不良反应。</w:t>
      </w:r>
    </w:p>
    <w:p w:rsidR="00E87940" w:rsidRPr="00C54DC2" w:rsidRDefault="00E87940" w:rsidP="00E87940">
      <w:pPr>
        <w:adjustRightInd w:val="0"/>
        <w:snapToGrid w:val="0"/>
        <w:ind w:firstLineChars="50" w:firstLine="105"/>
        <w:rPr>
          <w:rFonts w:ascii="宋体" w:hAnsi="宋体"/>
          <w:snapToGrid w:val="0"/>
          <w:kern w:val="0"/>
          <w:szCs w:val="21"/>
        </w:rPr>
      </w:pPr>
      <w:r w:rsidRPr="00C54DC2">
        <w:rPr>
          <w:rFonts w:ascii="宋体" w:hAnsi="宋体" w:hint="eastAsia"/>
          <w:snapToGrid w:val="0"/>
          <w:kern w:val="0"/>
          <w:szCs w:val="21"/>
        </w:rPr>
        <w:t>统计学方法: 采用SPSS统计软件进行数据录入和分析, 计量资料用t检验。</w:t>
      </w:r>
    </w:p>
    <w:p w:rsidR="00E87940" w:rsidRPr="00C156CE" w:rsidRDefault="00E87940" w:rsidP="00E87940">
      <w:pPr>
        <w:adjustRightInd w:val="0"/>
        <w:snapToGrid w:val="0"/>
        <w:ind w:firstLineChars="50" w:firstLine="105"/>
        <w:rPr>
          <w:rFonts w:ascii="宋体" w:hAnsi="宋体"/>
          <w:b/>
          <w:snapToGrid w:val="0"/>
          <w:kern w:val="0"/>
          <w:szCs w:val="21"/>
        </w:rPr>
      </w:pPr>
      <w:r w:rsidRPr="00C156CE">
        <w:rPr>
          <w:rFonts w:ascii="宋体" w:hAnsi="宋体" w:hint="eastAsia"/>
          <w:b/>
          <w:snapToGrid w:val="0"/>
          <w:kern w:val="0"/>
          <w:szCs w:val="21"/>
        </w:rPr>
        <w:t>结 果</w:t>
      </w:r>
    </w:p>
    <w:p w:rsidR="00E87940" w:rsidRPr="00C54DC2" w:rsidRDefault="00E87940" w:rsidP="00E87940">
      <w:pPr>
        <w:adjustRightInd w:val="0"/>
        <w:snapToGrid w:val="0"/>
        <w:ind w:firstLineChars="50" w:firstLine="105"/>
        <w:rPr>
          <w:rFonts w:ascii="宋体" w:hAnsi="宋体"/>
          <w:snapToGrid w:val="0"/>
          <w:kern w:val="0"/>
          <w:szCs w:val="21"/>
        </w:rPr>
      </w:pPr>
      <w:r w:rsidRPr="00C54DC2">
        <w:rPr>
          <w:rFonts w:ascii="宋体" w:hAnsi="宋体" w:hint="eastAsia"/>
          <w:snapToGrid w:val="0"/>
          <w:kern w:val="0"/>
          <w:szCs w:val="21"/>
        </w:rPr>
        <w:t>两组患者血生化指标变化的比较: 治疗2周后两组患者肝功能均有恢复，且治疗组疗效优于对照组(P &lt; 0.05),（见表1）。</w:t>
      </w:r>
    </w:p>
    <w:p w:rsidR="00E87940" w:rsidRDefault="00E87940" w:rsidP="00E87940">
      <w:pPr>
        <w:adjustRightInd w:val="0"/>
        <w:snapToGrid w:val="0"/>
        <w:ind w:firstLineChars="50" w:firstLine="105"/>
        <w:rPr>
          <w:rFonts w:ascii="宋体" w:hAnsi="宋体"/>
          <w:snapToGrid w:val="0"/>
          <w:kern w:val="0"/>
          <w:szCs w:val="21"/>
        </w:rPr>
      </w:pPr>
      <w:r w:rsidRPr="00C54DC2">
        <w:rPr>
          <w:rFonts w:ascii="宋体" w:hAnsi="宋体" w:hint="eastAsia"/>
          <w:snapToGrid w:val="0"/>
          <w:kern w:val="0"/>
          <w:szCs w:val="21"/>
        </w:rPr>
        <w:t>患者继续行抗结核治疗，抗结核方案均调整为异烟肼、利福平、乙胺丁醇、左氧氟沙星四联,同时治疗组及对照组均继续各自护肝用药, 2周后治疗组疗效仍优于对照组(P &lt; 0.05)。4 周后对照组中有5例患者肝功能明显异常，再次停用抗结核药物，治疗组仅有1例肝功能明显异常而停用抗结核药物,（见表2）。</w:t>
      </w:r>
    </w:p>
    <w:p w:rsidR="00E87940" w:rsidRPr="00C54DC2" w:rsidRDefault="00E87940" w:rsidP="00E87940">
      <w:pPr>
        <w:adjustRightInd w:val="0"/>
        <w:snapToGrid w:val="0"/>
        <w:rPr>
          <w:rFonts w:ascii="宋体" w:hAnsi="宋体"/>
          <w:snapToGrid w:val="0"/>
          <w:kern w:val="0"/>
          <w:szCs w:val="21"/>
        </w:rPr>
      </w:pPr>
    </w:p>
    <w:p w:rsidR="00E87940" w:rsidRPr="00C54DC2" w:rsidRDefault="00E87940" w:rsidP="00E87940">
      <w:pPr>
        <w:adjustRightInd w:val="0"/>
        <w:snapToGrid w:val="0"/>
        <w:rPr>
          <w:rFonts w:ascii="宋体" w:hAnsi="宋体"/>
          <w:snapToGrid w:val="0"/>
          <w:kern w:val="0"/>
          <w:szCs w:val="21"/>
        </w:rPr>
      </w:pPr>
      <w:r>
        <w:rPr>
          <w:rFonts w:ascii="宋体" w:hAnsi="宋体" w:hint="eastAsia"/>
          <w:noProof/>
          <w:kern w:val="0"/>
          <w:szCs w:val="21"/>
        </w:rPr>
        <w:drawing>
          <wp:anchor distT="0" distB="0" distL="114300" distR="114300" simplePos="0" relativeHeight="251660288" behindDoc="0" locked="0" layoutInCell="1" allowOverlap="1">
            <wp:simplePos x="0" y="0"/>
            <wp:positionH relativeFrom="column">
              <wp:posOffset>0</wp:posOffset>
            </wp:positionH>
            <wp:positionV relativeFrom="paragraph">
              <wp:posOffset>306705</wp:posOffset>
            </wp:positionV>
            <wp:extent cx="5547360" cy="3522345"/>
            <wp:effectExtent l="19050" t="0" r="0" b="0"/>
            <wp:wrapTopAndBottom/>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lum contrast="20000"/>
                    </a:blip>
                    <a:srcRect l="35692" t="34006" r="6422" b="13435"/>
                    <a:stretch>
                      <a:fillRect/>
                    </a:stretch>
                  </pic:blipFill>
                  <pic:spPr bwMode="auto">
                    <a:xfrm>
                      <a:off x="0" y="0"/>
                      <a:ext cx="5547360" cy="3522345"/>
                    </a:xfrm>
                    <a:prstGeom prst="rect">
                      <a:avLst/>
                    </a:prstGeom>
                    <a:noFill/>
                    <a:ln w="9525">
                      <a:noFill/>
                      <a:miter lim="800000"/>
                      <a:headEnd/>
                      <a:tailEnd/>
                    </a:ln>
                  </pic:spPr>
                </pic:pic>
              </a:graphicData>
            </a:graphic>
          </wp:anchor>
        </w:drawing>
      </w:r>
      <w:r w:rsidRPr="00C54DC2">
        <w:rPr>
          <w:rFonts w:ascii="宋体" w:hAnsi="宋体" w:hint="eastAsia"/>
          <w:snapToGrid w:val="0"/>
          <w:kern w:val="0"/>
          <w:szCs w:val="21"/>
        </w:rPr>
        <w:t>不良反应: 两组患者护肝用药期间均未出现明显不良反应。</w:t>
      </w:r>
    </w:p>
    <w:p w:rsidR="00E87940" w:rsidRPr="00C156CE" w:rsidRDefault="00E87940" w:rsidP="00E87940">
      <w:pPr>
        <w:adjustRightInd w:val="0"/>
        <w:snapToGrid w:val="0"/>
        <w:ind w:firstLineChars="50" w:firstLine="105"/>
        <w:rPr>
          <w:rFonts w:ascii="宋体" w:hAnsi="宋体"/>
          <w:b/>
          <w:snapToGrid w:val="0"/>
          <w:kern w:val="0"/>
          <w:szCs w:val="21"/>
        </w:rPr>
      </w:pPr>
      <w:r w:rsidRPr="00C156CE">
        <w:rPr>
          <w:rFonts w:ascii="宋体" w:hAnsi="宋体" w:hint="eastAsia"/>
          <w:b/>
          <w:snapToGrid w:val="0"/>
          <w:kern w:val="0"/>
          <w:szCs w:val="21"/>
        </w:rPr>
        <w:t>讨 论</w:t>
      </w:r>
    </w:p>
    <w:p w:rsidR="00E87940" w:rsidRPr="00233849" w:rsidRDefault="00E87940" w:rsidP="00E87940">
      <w:pPr>
        <w:adjustRightInd w:val="0"/>
        <w:snapToGrid w:val="0"/>
        <w:ind w:firstLineChars="50" w:firstLine="105"/>
        <w:rPr>
          <w:rFonts w:ascii="宋体" w:hAnsi="宋体"/>
          <w:snapToGrid w:val="0"/>
          <w:kern w:val="0"/>
          <w:szCs w:val="21"/>
        </w:rPr>
      </w:pPr>
      <w:r w:rsidRPr="00233849">
        <w:rPr>
          <w:rFonts w:ascii="宋体" w:hAnsi="宋体" w:hint="eastAsia"/>
          <w:snapToGrid w:val="0"/>
          <w:kern w:val="0"/>
          <w:szCs w:val="21"/>
        </w:rPr>
        <w:t>抗结核药物所致的肝损害是药物性肝炎的主要原因之一, 也是抗结核治疗过程中常见的不良反应， 不仅增加患者的经济和精神负担， 也影响了患者抗结核治疗的延续， 从而出现不规则服药， 导致耐药，也是目前我国耐药结核病人增多的原因之一。药物抗结核药物是结核病化学治疗(简称化疗) 的基础， 而结核病的化学治疗是人类控制结核病的主要手段。结核病化疗的出现使结核病的控制有了划时代的改变， 全球结核病疫情由此得以迅速控制。</w:t>
      </w:r>
    </w:p>
    <w:p w:rsidR="00E87940" w:rsidRPr="00233849" w:rsidRDefault="00E87940" w:rsidP="00E87940">
      <w:pPr>
        <w:adjustRightInd w:val="0"/>
        <w:snapToGrid w:val="0"/>
        <w:ind w:firstLineChars="50" w:firstLine="105"/>
        <w:rPr>
          <w:rFonts w:ascii="宋体" w:hAnsi="宋体"/>
          <w:snapToGrid w:val="0"/>
          <w:kern w:val="0"/>
          <w:szCs w:val="21"/>
        </w:rPr>
      </w:pPr>
      <w:r w:rsidRPr="00233849">
        <w:rPr>
          <w:rFonts w:ascii="宋体" w:hAnsi="宋体" w:hint="eastAsia"/>
          <w:snapToGrid w:val="0"/>
          <w:kern w:val="0"/>
          <w:szCs w:val="21"/>
        </w:rPr>
        <w:t>最早出现的有效抗结核药物当数链霉素(SM )。它诞生于20世纪40年代，当时单用SM 治疗肺结核2-3 个月后就可使临床症状和X 线影像得以改善，并可暂获痰菌阴转。对氨水杨酸(PAS)被应用于临床后结果显示，SM 加PAS的治疗效果优于单一用药，而且可以防止结核分支杆菌产生耐药性。发明异烟肼(INH ) 后， 有人单用INH和联用INH +PAS或SM 进行对比治疗试验，再一次证明了联合用药的优势。于是在此基础上产生了著名的结核病“标准”化疗方案，即SM + INH + PAS，疗程18个月-2年，并可根据药源和患者的耐受性将PAS替换为乙胺丁醇( EM B)或氨硫脲( TB1)，俗称“ 老三化”。20 世纪70 年代随着利福平( RFP)在临床上的应用以及对吡嗪酰胺( PZA )的重新认识，在经过大量的试验后，短程化疗成为结核病治疗的最大热点，并取得了令人瞩目的成就。当人类迈入2000年的今天，抗结核药物的研究已经获得了更进一步的发展，其中最引人注目的主要是利福霉素和氟喹诺酮这两大类药物，尤以后者更为突出。</w:t>
      </w:r>
    </w:p>
    <w:p w:rsidR="00E87940" w:rsidRPr="00233849" w:rsidRDefault="00E87940" w:rsidP="00E87940">
      <w:pPr>
        <w:adjustRightInd w:val="0"/>
        <w:snapToGrid w:val="0"/>
        <w:ind w:firstLineChars="50" w:firstLine="105"/>
        <w:rPr>
          <w:rFonts w:ascii="宋体" w:hAnsi="宋体"/>
          <w:snapToGrid w:val="0"/>
          <w:kern w:val="0"/>
          <w:szCs w:val="21"/>
        </w:rPr>
      </w:pPr>
      <w:r w:rsidRPr="00233849">
        <w:rPr>
          <w:rFonts w:ascii="宋体" w:hAnsi="宋体" w:hint="eastAsia"/>
          <w:snapToGrid w:val="0"/>
          <w:kern w:val="0"/>
          <w:szCs w:val="21"/>
        </w:rPr>
        <w:lastRenderedPageBreak/>
        <w:t>目前常用的有效短程初治化疗方案为异烟肼、利福平、乙胺丁醇、吡嗪酰胺四联抗结核用药，其中异烟肼、利福平、吡嗪酰胺均有肝损害的不良反应。据文献报道，使用含异烟肼、利福平、吡嗪酰胺的治疗方案时药物性肝炎的发生率可高达17.2%-25.0%，少数可发生重症肝炎以致死亡。而其致病机制考虑是通过改变肝细胞的物理和化学特性，抑制细胞膜上Na+ - K+ - ATP 酶活性，干扰肝细胞的摄取过程，破坏细胞骨架功能，在胆汁中形成不可溶性的复合物等途径导致肝损伤，也可选择性地破坏细胞成分，间接地引起肝损伤，引起肝细胞变性、坏死或肝内瘀胆或同时存在。</w:t>
      </w:r>
    </w:p>
    <w:p w:rsidR="00E87940" w:rsidRPr="00233849" w:rsidRDefault="00E87940" w:rsidP="00E87940">
      <w:pPr>
        <w:adjustRightInd w:val="0"/>
        <w:snapToGrid w:val="0"/>
        <w:ind w:firstLineChars="50" w:firstLine="105"/>
        <w:rPr>
          <w:rFonts w:ascii="宋体" w:hAnsi="宋体"/>
          <w:snapToGrid w:val="0"/>
          <w:kern w:val="0"/>
          <w:szCs w:val="21"/>
        </w:rPr>
      </w:pPr>
      <w:r w:rsidRPr="00233849">
        <w:rPr>
          <w:rFonts w:ascii="宋体" w:hAnsi="宋体" w:hint="eastAsia"/>
          <w:snapToGrid w:val="0"/>
          <w:kern w:val="0"/>
          <w:szCs w:val="21"/>
        </w:rPr>
        <w:t>异甘草酸镁是第四代甘草酸制剂，为单一的18- a 异构体甘草酸，是一种多功能的肝细胞保护剂，它能全面干预一相酶CYP、二相酶GSH、脂质过氧化及肝细胞受损等四个环节，而全面干预这四个环节是目前药物性肝炎治疗的趋势；异甘草酸镁具有稳定细胞膜、抗炎、调节免疫、抗生物氧化、解毒、抗肝脏毒物、抗肝纤维化、抑制Ca2+ 内流防止细胞凋亡等作用，从多环节保护肝细胞功能。由于甘草酸制剂可引起假性醛固酮症，如低血钾、血压升高、水钠潴留、浮肿等不良反应，但异甘草酸镁在临床使用中无上述不良反应发生，若长期大量使用还有待进一步观察。</w:t>
      </w:r>
    </w:p>
    <w:p w:rsidR="00E87940" w:rsidRPr="00E87940" w:rsidRDefault="00E87940" w:rsidP="00E87940">
      <w:pPr>
        <w:adjustRightInd w:val="0"/>
        <w:snapToGrid w:val="0"/>
        <w:ind w:firstLineChars="50" w:firstLine="105"/>
        <w:rPr>
          <w:rFonts w:hAnsi="宋体"/>
          <w:kern w:val="0"/>
        </w:rPr>
      </w:pPr>
      <w:r w:rsidRPr="00233849">
        <w:rPr>
          <w:rFonts w:ascii="宋体" w:hAnsi="宋体" w:hint="eastAsia"/>
          <w:snapToGrid w:val="0"/>
          <w:kern w:val="0"/>
          <w:szCs w:val="21"/>
        </w:rPr>
        <w:t>本组观察显示，异甘草酸镁可显著降低抗结核药物引起的肝损害，未见明显不良反应， 用药安全。对于抗结核药物引起的肝损害，可不停用所有抗结核药物，在护肝治疗的同时制定合理的个体化抗结核治疗方案，如使用喹诺酮类、氨基糖苷类等， 以减少对肝脏的损害，使化疗能够顺利进行到疗程结束。由于药物性肝炎起病多隐匿，临床症状较轻，临床医师容易疏忽，发现迟而导致肝损害进行性加重，少数出现重症肝炎而死亡，故定期监测肝功能是非常必需的</w:t>
      </w:r>
      <w:r w:rsidRPr="00F003B8">
        <w:rPr>
          <w:rFonts w:hAnsi="宋体" w:hint="eastAsia"/>
          <w:kern w:val="0"/>
        </w:rPr>
        <w:t>。</w:t>
      </w:r>
    </w:p>
    <w:p w:rsidR="00E87940" w:rsidRDefault="00E87940">
      <w:pPr>
        <w:rPr>
          <w:color w:val="FF0000"/>
        </w:rPr>
      </w:pPr>
    </w:p>
    <w:p w:rsidR="00E87940" w:rsidRDefault="00E87940">
      <w:r w:rsidRPr="00E87940">
        <w:rPr>
          <w:rFonts w:hint="eastAsia"/>
          <w:color w:val="FF0000"/>
        </w:rPr>
        <w:t>答</w:t>
      </w:r>
      <w:r>
        <w:rPr>
          <w:rFonts w:hint="eastAsia"/>
        </w:rPr>
        <w:t>：</w:t>
      </w:r>
    </w:p>
    <w:p w:rsidR="00E87940" w:rsidRDefault="00E87940"/>
    <w:p w:rsidR="00E648A9" w:rsidRDefault="00E648A9"/>
    <w:p w:rsidR="00E648A9" w:rsidRDefault="00E648A9"/>
    <w:p w:rsidR="00E648A9" w:rsidRDefault="00E648A9">
      <w:r>
        <w:rPr>
          <w:rFonts w:hint="eastAsia"/>
        </w:rPr>
        <w:t>参考答案：</w:t>
      </w:r>
    </w:p>
    <w:p w:rsidR="00E648A9" w:rsidRPr="00E87940" w:rsidRDefault="00E648A9" w:rsidP="00E648A9">
      <w:pPr>
        <w:rPr>
          <w:b/>
          <w:bCs/>
        </w:rPr>
      </w:pPr>
      <w:r w:rsidRPr="00E87940">
        <w:rPr>
          <w:rFonts w:hint="eastAsia"/>
          <w:b/>
          <w:bCs/>
        </w:rPr>
        <w:t>一．问答题</w:t>
      </w:r>
    </w:p>
    <w:p w:rsidR="00E648A9" w:rsidRPr="00EA331A" w:rsidRDefault="00E648A9" w:rsidP="00E648A9">
      <w:pPr>
        <w:rPr>
          <w:bCs/>
        </w:rPr>
      </w:pPr>
      <w:r>
        <w:rPr>
          <w:rFonts w:hint="eastAsia"/>
        </w:rPr>
        <w:t>1.</w:t>
      </w:r>
      <w:r w:rsidRPr="00EA331A">
        <w:rPr>
          <w:bCs/>
        </w:rPr>
        <w:t>Meta-</w:t>
      </w:r>
      <w:r w:rsidRPr="00EA331A">
        <w:rPr>
          <w:rFonts w:hint="eastAsia"/>
          <w:bCs/>
        </w:rPr>
        <w:t>分析的步骤有哪些？</w:t>
      </w:r>
      <w:r>
        <w:rPr>
          <w:rFonts w:hint="eastAsia"/>
          <w:bCs/>
        </w:rPr>
        <w:t>（</w:t>
      </w:r>
      <w:r>
        <w:rPr>
          <w:rFonts w:hint="eastAsia"/>
          <w:bCs/>
        </w:rPr>
        <w:t>12</w:t>
      </w:r>
      <w:r>
        <w:rPr>
          <w:rFonts w:hint="eastAsia"/>
          <w:bCs/>
        </w:rPr>
        <w:t>分）</w:t>
      </w:r>
    </w:p>
    <w:p w:rsidR="00EB0A78" w:rsidRDefault="00EB0A78" w:rsidP="00E648A9">
      <w:pPr>
        <w:rPr>
          <w:rFonts w:hint="eastAsia"/>
          <w:bCs/>
        </w:rPr>
      </w:pPr>
    </w:p>
    <w:p w:rsidR="00EB0A78" w:rsidRDefault="00EB0A78" w:rsidP="00E648A9">
      <w:pPr>
        <w:rPr>
          <w:rFonts w:hint="eastAsia"/>
          <w:bCs/>
        </w:rPr>
      </w:pPr>
    </w:p>
    <w:p w:rsidR="00E648A9" w:rsidRPr="00EA331A" w:rsidRDefault="00E648A9" w:rsidP="00E648A9">
      <w:r w:rsidRPr="00EA331A">
        <w:rPr>
          <w:rFonts w:hint="eastAsia"/>
        </w:rPr>
        <w:t>2</w:t>
      </w:r>
      <w:r w:rsidRPr="00EA331A">
        <w:rPr>
          <w:rFonts w:hint="eastAsia"/>
        </w:rPr>
        <w:t>、科研</w:t>
      </w:r>
      <w:r w:rsidRPr="00EA331A">
        <w:t>设计的基本原则有哪些，如何实施</w:t>
      </w:r>
      <w:r w:rsidRPr="00EA331A">
        <w:rPr>
          <w:rFonts w:hint="eastAsia"/>
        </w:rPr>
        <w:t>？</w:t>
      </w:r>
      <w:r>
        <w:rPr>
          <w:rFonts w:hint="eastAsia"/>
        </w:rPr>
        <w:t>（</w:t>
      </w:r>
      <w:r>
        <w:rPr>
          <w:rFonts w:hint="eastAsia"/>
        </w:rPr>
        <w:t>12</w:t>
      </w:r>
      <w:r>
        <w:rPr>
          <w:rFonts w:hint="eastAsia"/>
        </w:rPr>
        <w:t>分）</w:t>
      </w:r>
    </w:p>
    <w:p w:rsidR="00E648A9" w:rsidRDefault="00E648A9" w:rsidP="00E648A9">
      <w:pPr>
        <w:rPr>
          <w:rFonts w:hint="eastAsia"/>
        </w:rPr>
      </w:pPr>
    </w:p>
    <w:p w:rsidR="00EB0A78" w:rsidRDefault="00EB0A78" w:rsidP="00E648A9">
      <w:pPr>
        <w:rPr>
          <w:rFonts w:hint="eastAsia"/>
        </w:rPr>
      </w:pPr>
    </w:p>
    <w:p w:rsidR="00EB0A78" w:rsidRDefault="00EB0A78" w:rsidP="00E648A9"/>
    <w:p w:rsidR="00E648A9" w:rsidRPr="00F003B8" w:rsidRDefault="00E648A9" w:rsidP="00E648A9">
      <w:r>
        <w:rPr>
          <w:rFonts w:hint="eastAsia"/>
        </w:rPr>
        <w:t>3.</w:t>
      </w:r>
      <w:r w:rsidRPr="00F003B8">
        <w:rPr>
          <w:rFonts w:hint="eastAsia"/>
        </w:rPr>
        <w:t>简答提高申报项目中标率的对策？</w:t>
      </w:r>
      <w:r>
        <w:rPr>
          <w:rFonts w:hint="eastAsia"/>
        </w:rPr>
        <w:t>（</w:t>
      </w:r>
      <w:r>
        <w:rPr>
          <w:rFonts w:hint="eastAsia"/>
        </w:rPr>
        <w:t>15</w:t>
      </w:r>
      <w:r>
        <w:rPr>
          <w:rFonts w:hint="eastAsia"/>
        </w:rPr>
        <w:t>分）</w:t>
      </w:r>
    </w:p>
    <w:p w:rsidR="00E648A9" w:rsidRPr="00F003B8" w:rsidRDefault="00E648A9" w:rsidP="00E648A9">
      <w:pPr>
        <w:numPr>
          <w:ilvl w:val="0"/>
          <w:numId w:val="2"/>
        </w:numPr>
        <w:tabs>
          <w:tab w:val="left" w:pos="284"/>
        </w:tabs>
      </w:pPr>
      <w:r w:rsidRPr="00F003B8">
        <w:rPr>
          <w:rFonts w:hint="eastAsia"/>
        </w:rPr>
        <w:t>突出选题的新颖及特色</w:t>
      </w:r>
    </w:p>
    <w:p w:rsidR="00E648A9" w:rsidRPr="00F003B8" w:rsidRDefault="00E648A9" w:rsidP="00E648A9">
      <w:pPr>
        <w:numPr>
          <w:ilvl w:val="0"/>
          <w:numId w:val="2"/>
        </w:numPr>
        <w:tabs>
          <w:tab w:val="left" w:pos="284"/>
        </w:tabs>
      </w:pPr>
      <w:r w:rsidRPr="00F003B8">
        <w:rPr>
          <w:rFonts w:hint="eastAsia"/>
        </w:rPr>
        <w:t>完善研究方案和技术路线</w:t>
      </w:r>
    </w:p>
    <w:p w:rsidR="00E648A9" w:rsidRPr="00F003B8" w:rsidRDefault="00E648A9" w:rsidP="00E648A9">
      <w:pPr>
        <w:numPr>
          <w:ilvl w:val="0"/>
          <w:numId w:val="2"/>
        </w:numPr>
        <w:tabs>
          <w:tab w:val="left" w:pos="284"/>
        </w:tabs>
      </w:pPr>
      <w:r w:rsidRPr="00F003B8">
        <w:rPr>
          <w:rFonts w:hint="eastAsia"/>
        </w:rPr>
        <w:t>加强研究工作的基础</w:t>
      </w:r>
    </w:p>
    <w:p w:rsidR="00E648A9" w:rsidRPr="00F003B8" w:rsidRDefault="00E648A9" w:rsidP="00E648A9">
      <w:pPr>
        <w:numPr>
          <w:ilvl w:val="0"/>
          <w:numId w:val="2"/>
        </w:numPr>
        <w:tabs>
          <w:tab w:val="left" w:pos="284"/>
        </w:tabs>
      </w:pPr>
      <w:r w:rsidRPr="00F003B8">
        <w:rPr>
          <w:rFonts w:hint="eastAsia"/>
        </w:rPr>
        <w:t>注重标书的填写</w:t>
      </w:r>
    </w:p>
    <w:p w:rsidR="00E648A9" w:rsidRPr="00F003B8" w:rsidRDefault="00E648A9" w:rsidP="00E648A9">
      <w:pPr>
        <w:numPr>
          <w:ilvl w:val="0"/>
          <w:numId w:val="2"/>
        </w:numPr>
        <w:tabs>
          <w:tab w:val="left" w:pos="284"/>
        </w:tabs>
      </w:pPr>
      <w:r w:rsidRPr="00F003B8">
        <w:rPr>
          <w:rFonts w:hint="eastAsia"/>
        </w:rPr>
        <w:t>善于化失败为成功</w:t>
      </w:r>
    </w:p>
    <w:p w:rsidR="00E648A9" w:rsidRPr="00393A4F" w:rsidRDefault="00E648A9" w:rsidP="00E648A9">
      <w:r w:rsidRPr="00393A4F">
        <w:rPr>
          <w:rFonts w:hint="eastAsia"/>
        </w:rPr>
        <w:t>4</w:t>
      </w:r>
      <w:r w:rsidRPr="00393A4F">
        <w:rPr>
          <w:rFonts w:hint="eastAsia"/>
        </w:rPr>
        <w:t>、论述偏倚的类型及其控制方法。（</w:t>
      </w:r>
      <w:r>
        <w:rPr>
          <w:rFonts w:hint="eastAsia"/>
        </w:rPr>
        <w:t>15</w:t>
      </w:r>
      <w:r w:rsidRPr="00393A4F">
        <w:rPr>
          <w:rFonts w:hint="eastAsia"/>
        </w:rPr>
        <w:t>分）</w:t>
      </w:r>
    </w:p>
    <w:p w:rsidR="00E648A9" w:rsidRPr="00393A4F" w:rsidRDefault="00E648A9" w:rsidP="00E648A9">
      <w:pPr>
        <w:ind w:left="290"/>
      </w:pPr>
      <w:r w:rsidRPr="00393A4F">
        <w:rPr>
          <w:rFonts w:hint="eastAsia"/>
        </w:rPr>
        <w:t>1</w:t>
      </w:r>
      <w:r w:rsidRPr="00393A4F">
        <w:rPr>
          <w:rFonts w:hint="eastAsia"/>
        </w:rPr>
        <w:t>、选择偏倚：是指被选入的研究对象与没有被选入者在某些特征上的差异所导致的系统误差。</w:t>
      </w:r>
    </w:p>
    <w:p w:rsidR="00E648A9" w:rsidRPr="00393A4F" w:rsidRDefault="00E648A9" w:rsidP="00E648A9">
      <w:pPr>
        <w:ind w:left="290"/>
      </w:pPr>
      <w:r w:rsidRPr="00393A4F">
        <w:rPr>
          <w:rFonts w:hint="eastAsia"/>
        </w:rPr>
        <w:t>控制方法：（</w:t>
      </w:r>
      <w:r w:rsidRPr="00393A4F">
        <w:rPr>
          <w:rFonts w:hint="eastAsia"/>
        </w:rPr>
        <w:t>1</w:t>
      </w:r>
      <w:r w:rsidRPr="00393A4F">
        <w:rPr>
          <w:rFonts w:hint="eastAsia"/>
        </w:rPr>
        <w:t>）在设计中控制纳入对象的代表性；（</w:t>
      </w:r>
      <w:r w:rsidRPr="00393A4F">
        <w:rPr>
          <w:rFonts w:hint="eastAsia"/>
        </w:rPr>
        <w:t>2</w:t>
      </w:r>
      <w:r w:rsidRPr="00393A4F">
        <w:rPr>
          <w:rFonts w:hint="eastAsia"/>
        </w:rPr>
        <w:t>）选用两个或两个以上不同来源的对照组；（</w:t>
      </w:r>
      <w:r w:rsidRPr="00393A4F">
        <w:rPr>
          <w:rFonts w:hint="eastAsia"/>
        </w:rPr>
        <w:t>3</w:t>
      </w:r>
      <w:r w:rsidRPr="00393A4F">
        <w:rPr>
          <w:rFonts w:hint="eastAsia"/>
        </w:rPr>
        <w:t>）病例对照研究中尽可能选用新诊断病例；（</w:t>
      </w:r>
      <w:r w:rsidRPr="00393A4F">
        <w:rPr>
          <w:rFonts w:hint="eastAsia"/>
        </w:rPr>
        <w:t>4</w:t>
      </w:r>
      <w:r w:rsidRPr="00393A4F">
        <w:rPr>
          <w:rFonts w:hint="eastAsia"/>
        </w:rPr>
        <w:t>）尽可能降低拒绝参加人员的比例；（</w:t>
      </w:r>
      <w:r w:rsidRPr="00393A4F">
        <w:rPr>
          <w:rFonts w:hint="eastAsia"/>
        </w:rPr>
        <w:t>5</w:t>
      </w:r>
      <w:r w:rsidRPr="00393A4F">
        <w:rPr>
          <w:rFonts w:hint="eastAsia"/>
        </w:rPr>
        <w:t>）尽可能提高应答率；（</w:t>
      </w:r>
      <w:r w:rsidRPr="00393A4F">
        <w:rPr>
          <w:rFonts w:hint="eastAsia"/>
        </w:rPr>
        <w:t>6</w:t>
      </w:r>
      <w:r w:rsidRPr="00393A4F">
        <w:rPr>
          <w:rFonts w:hint="eastAsia"/>
        </w:rPr>
        <w:t>）病例对照研究严格诊断标准；（</w:t>
      </w:r>
      <w:r w:rsidRPr="00393A4F">
        <w:rPr>
          <w:rFonts w:hint="eastAsia"/>
        </w:rPr>
        <w:t>7</w:t>
      </w:r>
      <w:r w:rsidRPr="00393A4F">
        <w:rPr>
          <w:rFonts w:hint="eastAsia"/>
        </w:rPr>
        <w:t>）随机抽样。</w:t>
      </w:r>
    </w:p>
    <w:p w:rsidR="00E648A9" w:rsidRPr="00393A4F" w:rsidRDefault="00E648A9" w:rsidP="00E648A9">
      <w:pPr>
        <w:ind w:left="290"/>
      </w:pPr>
      <w:r w:rsidRPr="00393A4F">
        <w:rPr>
          <w:rFonts w:hint="eastAsia"/>
        </w:rPr>
        <w:t>2</w:t>
      </w:r>
      <w:r w:rsidRPr="00393A4F">
        <w:rPr>
          <w:rFonts w:hint="eastAsia"/>
        </w:rPr>
        <w:t>、信息偏倚：是指在研究的实施阶段从研究对象获取所需数据时产生的系统误差。</w:t>
      </w:r>
    </w:p>
    <w:p w:rsidR="00E648A9" w:rsidRPr="00393A4F" w:rsidRDefault="00E648A9" w:rsidP="00E648A9">
      <w:pPr>
        <w:ind w:left="290"/>
      </w:pPr>
      <w:r w:rsidRPr="00393A4F">
        <w:rPr>
          <w:rFonts w:hint="eastAsia"/>
        </w:rPr>
        <w:lastRenderedPageBreak/>
        <w:t>控制方法：（</w:t>
      </w:r>
      <w:r w:rsidRPr="00393A4F">
        <w:rPr>
          <w:rFonts w:hint="eastAsia"/>
        </w:rPr>
        <w:t>1</w:t>
      </w:r>
      <w:r w:rsidRPr="00393A4F">
        <w:rPr>
          <w:rFonts w:hint="eastAsia"/>
        </w:rPr>
        <w:t>）严格的调查设计和研究人员的科学态度，严格的质量控制措施；（</w:t>
      </w:r>
      <w:r w:rsidRPr="00393A4F">
        <w:rPr>
          <w:rFonts w:hint="eastAsia"/>
        </w:rPr>
        <w:t>2</w:t>
      </w:r>
      <w:r w:rsidRPr="00393A4F">
        <w:rPr>
          <w:rFonts w:hint="eastAsia"/>
        </w:rPr>
        <w:t>）尽量采用盲法；（</w:t>
      </w:r>
      <w:r w:rsidRPr="00393A4F">
        <w:rPr>
          <w:rFonts w:hint="eastAsia"/>
        </w:rPr>
        <w:t>3</w:t>
      </w:r>
      <w:r w:rsidRPr="00393A4F">
        <w:rPr>
          <w:rFonts w:hint="eastAsia"/>
        </w:rPr>
        <w:t>）尽量收集客观指标的资料；（</w:t>
      </w:r>
      <w:r w:rsidRPr="00393A4F">
        <w:rPr>
          <w:rFonts w:hint="eastAsia"/>
        </w:rPr>
        <w:t>4</w:t>
      </w:r>
      <w:r w:rsidRPr="00393A4F">
        <w:rPr>
          <w:rFonts w:hint="eastAsia"/>
        </w:rPr>
        <w:t>）收集资料的范围广泛。</w:t>
      </w:r>
    </w:p>
    <w:p w:rsidR="00E648A9" w:rsidRPr="00393A4F" w:rsidRDefault="00E648A9" w:rsidP="00E648A9">
      <w:pPr>
        <w:ind w:left="290"/>
      </w:pPr>
      <w:r w:rsidRPr="00393A4F">
        <w:rPr>
          <w:rFonts w:hint="eastAsia"/>
        </w:rPr>
        <w:t>3</w:t>
      </w:r>
      <w:r w:rsidRPr="00393A4F">
        <w:rPr>
          <w:rFonts w:hint="eastAsia"/>
        </w:rPr>
        <w:t>、混杂偏倚简称混杂：是由于一个或多个潜在的混杂因素的影响掩盖或夸大了实际危险因素与疾病（或事件）之间的联系，从而使两者之间的真正联系被错误估计。</w:t>
      </w:r>
    </w:p>
    <w:p w:rsidR="00E648A9" w:rsidRPr="00393A4F" w:rsidRDefault="00E648A9" w:rsidP="00E648A9">
      <w:pPr>
        <w:pStyle w:val="a6"/>
        <w:ind w:left="290"/>
      </w:pPr>
      <w:r w:rsidRPr="00393A4F">
        <w:rPr>
          <w:rFonts w:hint="eastAsia"/>
        </w:rPr>
        <w:t>控制方法：（1）最简单的方法是限制；（2）匹配；（3）研究完成后的控制。</w:t>
      </w:r>
    </w:p>
    <w:p w:rsidR="00E648A9" w:rsidRPr="00233849" w:rsidRDefault="00E648A9" w:rsidP="00E648A9">
      <w:pPr>
        <w:adjustRightInd w:val="0"/>
        <w:snapToGrid w:val="0"/>
        <w:rPr>
          <w:rFonts w:ascii="宋体" w:hAnsi="宋体"/>
          <w:b/>
          <w:snapToGrid w:val="0"/>
          <w:kern w:val="0"/>
          <w:szCs w:val="21"/>
        </w:rPr>
      </w:pPr>
      <w:r>
        <w:rPr>
          <w:rFonts w:ascii="宋体" w:hAnsi="宋体" w:hint="eastAsia"/>
          <w:b/>
          <w:snapToGrid w:val="0"/>
          <w:kern w:val="0"/>
          <w:szCs w:val="21"/>
        </w:rPr>
        <w:t>二</w:t>
      </w:r>
      <w:r w:rsidRPr="00233849">
        <w:rPr>
          <w:rFonts w:ascii="宋体" w:hAnsi="宋体" w:hint="eastAsia"/>
          <w:b/>
          <w:snapToGrid w:val="0"/>
          <w:kern w:val="0"/>
          <w:szCs w:val="21"/>
        </w:rPr>
        <w:t>、综合题</w:t>
      </w:r>
      <w:r w:rsidRPr="00233849">
        <w:rPr>
          <w:rFonts w:ascii="宋体" w:hAnsi="宋体"/>
          <w:b/>
          <w:snapToGrid w:val="0"/>
          <w:kern w:val="0"/>
          <w:szCs w:val="21"/>
        </w:rPr>
        <w:t>(</w:t>
      </w:r>
      <w:r>
        <w:rPr>
          <w:rFonts w:ascii="宋体" w:hAnsi="宋体" w:hint="eastAsia"/>
          <w:b/>
          <w:snapToGrid w:val="0"/>
          <w:kern w:val="0"/>
          <w:szCs w:val="21"/>
        </w:rPr>
        <w:t>46</w:t>
      </w:r>
      <w:r w:rsidRPr="00233849">
        <w:rPr>
          <w:rFonts w:ascii="宋体" w:hAnsi="宋体" w:hint="eastAsia"/>
          <w:b/>
          <w:snapToGrid w:val="0"/>
          <w:kern w:val="0"/>
          <w:szCs w:val="21"/>
        </w:rPr>
        <w:t>分</w:t>
      </w:r>
      <w:r w:rsidRPr="00233849">
        <w:rPr>
          <w:rFonts w:ascii="宋体" w:hAnsi="宋体"/>
          <w:b/>
          <w:snapToGrid w:val="0"/>
          <w:kern w:val="0"/>
          <w:szCs w:val="21"/>
        </w:rPr>
        <w:t>)</w:t>
      </w:r>
    </w:p>
    <w:p w:rsidR="00E648A9" w:rsidRPr="00F003B8" w:rsidRDefault="00E648A9" w:rsidP="00E648A9">
      <w:r w:rsidRPr="00F003B8">
        <w:rPr>
          <w:rFonts w:hint="eastAsia"/>
        </w:rPr>
        <w:t>1</w:t>
      </w:r>
      <w:r w:rsidRPr="00F003B8">
        <w:rPr>
          <w:rFonts w:hint="eastAsia"/>
        </w:rPr>
        <w:t>、写出该论文的结构式摘要</w:t>
      </w:r>
      <w:r>
        <w:rPr>
          <w:rFonts w:hint="eastAsia"/>
        </w:rPr>
        <w:t>（目的、方法、结果、结论）</w:t>
      </w:r>
      <w:r w:rsidRPr="00F003B8">
        <w:rPr>
          <w:rFonts w:hint="eastAsia"/>
        </w:rPr>
        <w:t>？</w:t>
      </w:r>
    </w:p>
    <w:p w:rsidR="00E648A9" w:rsidRPr="00F003B8" w:rsidRDefault="00E648A9" w:rsidP="00E648A9">
      <w:pPr>
        <w:rPr>
          <w:rFonts w:hAnsi="宋体"/>
          <w:kern w:val="0"/>
        </w:rPr>
      </w:pPr>
      <w:r w:rsidRPr="00F003B8">
        <w:rPr>
          <w:rFonts w:hint="eastAsia"/>
        </w:rPr>
        <w:t>2</w:t>
      </w:r>
      <w:r w:rsidRPr="00F003B8">
        <w:rPr>
          <w:rFonts w:hint="eastAsia"/>
        </w:rPr>
        <w:t>、写出关</w:t>
      </w:r>
      <w:r w:rsidRPr="00F003B8">
        <w:rPr>
          <w:rFonts w:hAnsi="宋体" w:hint="eastAsia"/>
          <w:kern w:val="0"/>
        </w:rPr>
        <w:t>键词？</w:t>
      </w:r>
    </w:p>
    <w:p w:rsidR="00E648A9" w:rsidRPr="00F003B8" w:rsidRDefault="00E648A9" w:rsidP="00E648A9">
      <w:pPr>
        <w:pStyle w:val="a6"/>
        <w:ind w:firstLineChars="223" w:firstLine="470"/>
        <w:rPr>
          <w:rFonts w:hAnsi="宋体"/>
          <w:kern w:val="0"/>
        </w:rPr>
      </w:pPr>
      <w:r w:rsidRPr="00F003B8">
        <w:rPr>
          <w:rFonts w:hAnsi="宋体" w:hint="eastAsia"/>
          <w:b/>
          <w:kern w:val="0"/>
        </w:rPr>
        <w:t>摘要</w:t>
      </w:r>
      <w:r w:rsidRPr="00F003B8">
        <w:rPr>
          <w:rFonts w:hAnsi="宋体" w:hint="eastAsia"/>
          <w:kern w:val="0"/>
        </w:rPr>
        <w:t>目的: 观察异甘草酸镁治疗抗结核药引起的药物性肝炎临床疗效。方法:将74例抗结核药引起的药物性肝炎患者随机分成治疗组38例和对照组36 例，两组均停用抗结核药物。治疗组给予异甘草酸镁治疗，对照组给予还原型谷胱甘肽治疗，疗程2周，观察治疗前后血生化指标的变化。再次予以抗结核用药，且两组护肝用药不变，疗程2 周，观察治疗组及对照组血生化指标的变化情况。结果: 治疗组患者肝功能好转情况优于对照组( P&lt; 0</w:t>
      </w:r>
      <w:r w:rsidRPr="00F003B8">
        <w:rPr>
          <w:rFonts w:ascii="Times New Roman" w:hAnsi="Times New Roman" w:cs="Times New Roman" w:hint="eastAsia"/>
          <w:kern w:val="0"/>
        </w:rPr>
        <w:t>.</w:t>
      </w:r>
      <w:r w:rsidRPr="00F003B8">
        <w:rPr>
          <w:rFonts w:hAnsi="宋体" w:hint="eastAsia"/>
          <w:kern w:val="0"/>
        </w:rPr>
        <w:t>05)。结论: 异甘草酸镁有较好的护肝、降酶作用，未见明显不良反应。</w:t>
      </w:r>
      <w:r>
        <w:rPr>
          <w:rFonts w:hAnsi="宋体" w:hint="eastAsia"/>
          <w:kern w:val="0"/>
        </w:rPr>
        <w:t>（30分）</w:t>
      </w:r>
    </w:p>
    <w:p w:rsidR="00E648A9" w:rsidRPr="00F003B8" w:rsidRDefault="00E648A9" w:rsidP="00E648A9">
      <w:pPr>
        <w:pStyle w:val="a6"/>
        <w:ind w:firstLineChars="223" w:firstLine="470"/>
        <w:rPr>
          <w:rFonts w:hAnsi="宋体"/>
          <w:kern w:val="0"/>
        </w:rPr>
      </w:pPr>
      <w:r w:rsidRPr="00F003B8">
        <w:rPr>
          <w:rFonts w:hAnsi="宋体" w:hint="eastAsia"/>
          <w:b/>
          <w:kern w:val="0"/>
        </w:rPr>
        <w:t>关键词</w:t>
      </w:r>
      <w:r w:rsidRPr="00F003B8">
        <w:rPr>
          <w:rFonts w:hAnsi="宋体" w:hint="eastAsia"/>
          <w:kern w:val="0"/>
        </w:rPr>
        <w:t xml:space="preserve"> 药物性肝炎</w:t>
      </w:r>
      <w:r>
        <w:rPr>
          <w:rFonts w:ascii="Times New Roman" w:hAnsi="Times New Roman" w:cs="Times New Roman" w:hint="eastAsia"/>
          <w:kern w:val="0"/>
        </w:rPr>
        <w:t>；</w:t>
      </w:r>
      <w:r w:rsidRPr="00F003B8">
        <w:rPr>
          <w:rFonts w:hAnsi="宋体" w:hint="eastAsia"/>
          <w:kern w:val="0"/>
        </w:rPr>
        <w:t xml:space="preserve"> 异甘草酸镁</w:t>
      </w:r>
      <w:r>
        <w:rPr>
          <w:rFonts w:ascii="Times New Roman" w:hAnsi="Times New Roman" w:cs="Times New Roman" w:hint="eastAsia"/>
          <w:kern w:val="0"/>
        </w:rPr>
        <w:t>；</w:t>
      </w:r>
      <w:r w:rsidRPr="00F003B8">
        <w:rPr>
          <w:rFonts w:hAnsi="宋体" w:hint="eastAsia"/>
          <w:kern w:val="0"/>
        </w:rPr>
        <w:t>治疗</w:t>
      </w:r>
      <w:r>
        <w:rPr>
          <w:rFonts w:ascii="Times New Roman" w:hAnsi="Times New Roman" w:cs="Times New Roman" w:hint="eastAsia"/>
          <w:kern w:val="0"/>
        </w:rPr>
        <w:t>；</w:t>
      </w:r>
      <w:r w:rsidRPr="00F003B8">
        <w:rPr>
          <w:rFonts w:hAnsi="宋体" w:hint="eastAsia"/>
          <w:kern w:val="0"/>
        </w:rPr>
        <w:t xml:space="preserve"> 抗结核药</w:t>
      </w:r>
      <w:r>
        <w:rPr>
          <w:rFonts w:hAnsi="宋体" w:hint="eastAsia"/>
          <w:kern w:val="0"/>
        </w:rPr>
        <w:t>（16分）</w:t>
      </w:r>
    </w:p>
    <w:p w:rsidR="00E648A9" w:rsidRPr="00F003B8" w:rsidRDefault="00E648A9" w:rsidP="00E648A9">
      <w:pPr>
        <w:pStyle w:val="a6"/>
        <w:ind w:firstLineChars="196" w:firstLine="413"/>
        <w:rPr>
          <w:rFonts w:hAnsi="宋体"/>
          <w:b/>
          <w:kern w:val="0"/>
        </w:rPr>
      </w:pPr>
    </w:p>
    <w:p w:rsidR="00E648A9" w:rsidRPr="00F003B8" w:rsidRDefault="00E648A9" w:rsidP="00E648A9">
      <w:pPr>
        <w:ind w:firstLineChars="196" w:firstLine="412"/>
        <w:rPr>
          <w:rFonts w:ascii="宋体" w:hAnsi="宋体"/>
          <w:szCs w:val="21"/>
        </w:rPr>
      </w:pPr>
    </w:p>
    <w:p w:rsidR="00E648A9" w:rsidRPr="00E648A9" w:rsidRDefault="00E648A9" w:rsidP="00E648A9"/>
    <w:sectPr w:rsidR="00E648A9" w:rsidRPr="00E648A9" w:rsidSect="00390EB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055F" w:rsidRDefault="0047055F" w:rsidP="00E87940">
      <w:r>
        <w:separator/>
      </w:r>
    </w:p>
  </w:endnote>
  <w:endnote w:type="continuationSeparator" w:id="1">
    <w:p w:rsidR="0047055F" w:rsidRDefault="0047055F" w:rsidP="00E879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055F" w:rsidRDefault="0047055F" w:rsidP="00E87940">
      <w:r>
        <w:separator/>
      </w:r>
    </w:p>
  </w:footnote>
  <w:footnote w:type="continuationSeparator" w:id="1">
    <w:p w:rsidR="0047055F" w:rsidRDefault="0047055F" w:rsidP="00E879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1D57A0"/>
    <w:multiLevelType w:val="hybridMultilevel"/>
    <w:tmpl w:val="5E36C606"/>
    <w:lvl w:ilvl="0" w:tplc="48FA0252">
      <w:start w:val="1"/>
      <w:numFmt w:val="decimal"/>
      <w:lvlText w:val="（%1）"/>
      <w:lvlJc w:val="left"/>
      <w:pPr>
        <w:tabs>
          <w:tab w:val="num" w:pos="0"/>
        </w:tabs>
        <w:ind w:left="71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7D9B66ED"/>
    <w:multiLevelType w:val="hybridMultilevel"/>
    <w:tmpl w:val="D96A6D7C"/>
    <w:lvl w:ilvl="0" w:tplc="F9CEE442">
      <w:start w:val="1"/>
      <w:numFmt w:val="decimal"/>
      <w:lvlText w:val="（%1）"/>
      <w:lvlJc w:val="left"/>
      <w:pPr>
        <w:tabs>
          <w:tab w:val="num" w:pos="420"/>
        </w:tabs>
        <w:ind w:left="113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87940"/>
    <w:rsid w:val="000472D2"/>
    <w:rsid w:val="00065FA3"/>
    <w:rsid w:val="00390EBC"/>
    <w:rsid w:val="003B7501"/>
    <w:rsid w:val="0047055F"/>
    <w:rsid w:val="00E648A9"/>
    <w:rsid w:val="00E87940"/>
    <w:rsid w:val="00EB0A78"/>
    <w:rsid w:val="00EB0B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94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879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87940"/>
    <w:rPr>
      <w:sz w:val="18"/>
      <w:szCs w:val="18"/>
    </w:rPr>
  </w:style>
  <w:style w:type="paragraph" w:styleId="a4">
    <w:name w:val="footer"/>
    <w:basedOn w:val="a"/>
    <w:link w:val="Char0"/>
    <w:uiPriority w:val="99"/>
    <w:semiHidden/>
    <w:unhideWhenUsed/>
    <w:rsid w:val="00E8794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87940"/>
    <w:rPr>
      <w:sz w:val="18"/>
      <w:szCs w:val="18"/>
    </w:rPr>
  </w:style>
  <w:style w:type="paragraph" w:styleId="a5">
    <w:name w:val="List Paragraph"/>
    <w:basedOn w:val="a"/>
    <w:uiPriority w:val="34"/>
    <w:qFormat/>
    <w:rsid w:val="00E648A9"/>
    <w:pPr>
      <w:ind w:firstLineChars="200" w:firstLine="420"/>
    </w:pPr>
  </w:style>
  <w:style w:type="paragraph" w:styleId="a6">
    <w:name w:val="Plain Text"/>
    <w:basedOn w:val="a"/>
    <w:link w:val="Char1"/>
    <w:rsid w:val="00E648A9"/>
    <w:rPr>
      <w:rFonts w:ascii="宋体" w:hAnsi="Courier New" w:cs="Courier New"/>
      <w:szCs w:val="21"/>
    </w:rPr>
  </w:style>
  <w:style w:type="character" w:customStyle="1" w:styleId="Char1">
    <w:name w:val="纯文本 Char"/>
    <w:basedOn w:val="a0"/>
    <w:link w:val="a6"/>
    <w:rsid w:val="00E648A9"/>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510</Words>
  <Characters>2912</Characters>
  <Application>Microsoft Office Word</Application>
  <DocSecurity>0</DocSecurity>
  <Lines>24</Lines>
  <Paragraphs>6</Paragraphs>
  <ScaleCrop>false</ScaleCrop>
  <Company/>
  <LinksUpToDate>false</LinksUpToDate>
  <CharactersWithSpaces>3416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蒋艳</dc:creator>
  <cp:keywords/>
  <dc:description/>
  <cp:lastModifiedBy>xhy</cp:lastModifiedBy>
  <cp:revision>5</cp:revision>
  <dcterms:created xsi:type="dcterms:W3CDTF">2020-04-13T00:36:00Z</dcterms:created>
  <dcterms:modified xsi:type="dcterms:W3CDTF">2022-04-08T02:17:00Z</dcterms:modified>
</cp:coreProperties>
</file>